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0CBB" w14:textId="5181202A" w:rsidR="00996780" w:rsidRPr="00C8636C" w:rsidRDefault="0062030E" w:rsidP="00F80FE8">
      <w:pPr>
        <w:pStyle w:val="H1"/>
      </w:pPr>
      <w:r w:rsidRPr="00C8636C">
        <w:t>Feuille de route pour la mise en place et la mise en œuvre</w:t>
      </w:r>
    </w:p>
    <w:p w14:paraId="086AD6D3" w14:textId="77777777" w:rsidR="009B38D8" w:rsidRPr="00C8636C" w:rsidRDefault="009B38D8" w:rsidP="00F80FE8">
      <w:pPr>
        <w:pStyle w:val="Heading2"/>
        <w:keepNext w:val="0"/>
      </w:pPr>
    </w:p>
    <w:p w14:paraId="7C80564B" w14:textId="77777777" w:rsidR="007D1A58" w:rsidRPr="00C8636C" w:rsidRDefault="007D1A58" w:rsidP="00F80FE8">
      <w:pPr>
        <w:pStyle w:val="Heading2"/>
        <w:keepNext w:val="0"/>
      </w:pPr>
      <w:r w:rsidRPr="00C8636C">
        <w:t>INTRODUCTION</w:t>
      </w:r>
    </w:p>
    <w:p w14:paraId="3456F66E" w14:textId="0D9CFD90" w:rsidR="00C22194" w:rsidRPr="00C8636C" w:rsidRDefault="00E57E3F" w:rsidP="00F80FE8">
      <w:r w:rsidRPr="00C8636C">
        <w:t xml:space="preserve">Après avoir sélectionné la </w:t>
      </w:r>
      <w:r w:rsidR="00432042" w:rsidRPr="00C8636C">
        <w:t>solution d’intervention</w:t>
      </w:r>
      <w:r w:rsidRPr="00C8636C">
        <w:t xml:space="preserve"> la plus appropriée</w:t>
      </w:r>
      <w:r w:rsidR="00432042" w:rsidRPr="00C8636C">
        <w:t xml:space="preserve"> et réalisable</w:t>
      </w:r>
      <w:r w:rsidRPr="00C8636C">
        <w:t xml:space="preserve">, vous </w:t>
      </w:r>
      <w:r w:rsidR="00574B52" w:rsidRPr="00C8636C">
        <w:t>devrez</w:t>
      </w:r>
      <w:r w:rsidRPr="00C8636C">
        <w:t xml:space="preserve"> la mettre en place et la mettre en œuvre. Ce processus commence par la planification de l</w:t>
      </w:r>
      <w:r w:rsidR="008E799E" w:rsidRPr="00C8636C">
        <w:t>’</w:t>
      </w:r>
      <w:r w:rsidRPr="00C8636C">
        <w:t>intervention, la déf</w:t>
      </w:r>
      <w:r w:rsidR="00432042" w:rsidRPr="00C8636C">
        <w:t>inition des méthodes de travail et</w:t>
      </w:r>
      <w:r w:rsidRPr="00C8636C">
        <w:t xml:space="preserve"> l</w:t>
      </w:r>
      <w:r w:rsidR="008E799E" w:rsidRPr="00C8636C">
        <w:t>’</w:t>
      </w:r>
      <w:r w:rsidRPr="00C8636C">
        <w:t>établissement de mécanismes pour la coordination in</w:t>
      </w:r>
      <w:r w:rsidR="00574B52" w:rsidRPr="00C8636C">
        <w:t>terne et externe</w:t>
      </w:r>
      <w:r w:rsidR="00432042" w:rsidRPr="00C8636C">
        <w:t>,</w:t>
      </w:r>
      <w:r w:rsidR="00574B52" w:rsidRPr="00C8636C">
        <w:t xml:space="preserve"> ainsi que pour </w:t>
      </w:r>
      <w:r w:rsidRPr="00C8636C">
        <w:t xml:space="preserve">la communication avec les bénéficiaires. La phase de mise en œuvre consiste à </w:t>
      </w:r>
      <w:r w:rsidR="00432042" w:rsidRPr="00C8636C">
        <w:t>recruter l</w:t>
      </w:r>
      <w:r w:rsidRPr="00C8636C">
        <w:t xml:space="preserve">es </w:t>
      </w:r>
      <w:r w:rsidR="00432042" w:rsidRPr="00C8636C">
        <w:t>prestataires</w:t>
      </w:r>
      <w:r w:rsidRPr="00C8636C">
        <w:t xml:space="preserve"> de services, identifier et </w:t>
      </w:r>
      <w:r w:rsidR="00A5741C" w:rsidRPr="00C8636C">
        <w:t>enregistrer</w:t>
      </w:r>
      <w:r w:rsidRPr="00C8636C">
        <w:t xml:space="preserve"> </w:t>
      </w:r>
      <w:r w:rsidR="00432042" w:rsidRPr="00C8636C">
        <w:t>l</w:t>
      </w:r>
      <w:r w:rsidRPr="00C8636C">
        <w:t xml:space="preserve">es bénéficiaires et </w:t>
      </w:r>
      <w:r w:rsidR="00574B52" w:rsidRPr="00C8636C">
        <w:t>procéder aux</w:t>
      </w:r>
      <w:r w:rsidRPr="00C8636C">
        <w:t xml:space="preserve"> distributions et </w:t>
      </w:r>
      <w:r w:rsidR="00574B52" w:rsidRPr="00C8636C">
        <w:t>versements</w:t>
      </w:r>
      <w:r w:rsidRPr="00C8636C">
        <w:t xml:space="preserve">. </w:t>
      </w:r>
    </w:p>
    <w:p w14:paraId="48A2AC3D" w14:textId="1A419A7A" w:rsidR="000C4E88" w:rsidRPr="00C8636C" w:rsidRDefault="00432042" w:rsidP="00F80FE8">
      <w:r w:rsidRPr="00C8636C">
        <w:t>Pour les besoins de la Boîte à outils</w:t>
      </w:r>
      <w:r w:rsidR="000C4E88" w:rsidRPr="00C8636C">
        <w:t>, le processus de mise en place et de mise en œuvre a été divisé en étapes</w:t>
      </w:r>
      <w:r w:rsidR="005B3727" w:rsidRPr="00C8636C">
        <w:t>, elles-mêmes divisées en étapes subsidiaires</w:t>
      </w:r>
      <w:r w:rsidR="000C4E88" w:rsidRPr="00C8636C">
        <w:t xml:space="preserve">. Chaque </w:t>
      </w:r>
      <w:r w:rsidR="005B3727" w:rsidRPr="00C8636C">
        <w:t xml:space="preserve">étape subsidiaire comprend des outils qui ont été </w:t>
      </w:r>
      <w:r w:rsidR="000C4E88" w:rsidRPr="00C8636C">
        <w:t>sélectionnés pour leur potentiel à être adaptés et utilisés dans différents contextes et programmes de transferts monétaires</w:t>
      </w:r>
      <w:r w:rsidR="005B3727" w:rsidRPr="00C8636C">
        <w:t xml:space="preserve"> (PTM)</w:t>
      </w:r>
      <w:r w:rsidR="000C4E88" w:rsidRPr="00C8636C">
        <w:t xml:space="preserve">, par différentes organisations. </w:t>
      </w:r>
      <w:r w:rsidR="005B3727" w:rsidRPr="00C8636C">
        <w:rPr>
          <w:bCs/>
          <w:iCs/>
        </w:rPr>
        <w:t xml:space="preserve">Lorsque vous adaptez les </w:t>
      </w:r>
      <w:r w:rsidR="000C4E88" w:rsidRPr="00C8636C">
        <w:t xml:space="preserve">outils à votre contexte et </w:t>
      </w:r>
      <w:r w:rsidR="005B3727" w:rsidRPr="00C8636C">
        <w:t xml:space="preserve">à </w:t>
      </w:r>
      <w:r w:rsidR="000C4E88" w:rsidRPr="00C8636C">
        <w:t xml:space="preserve">vos besoins, </w:t>
      </w:r>
      <w:r w:rsidR="005B3727" w:rsidRPr="00C8636C">
        <w:rPr>
          <w:bCs/>
          <w:iCs/>
        </w:rPr>
        <w:t>vous pouvez consulter les orientations détaillées</w:t>
      </w:r>
      <w:r w:rsidR="005B3727" w:rsidRPr="00C8636C">
        <w:t xml:space="preserve"> relatives à </w:t>
      </w:r>
      <w:r w:rsidR="000C4E88" w:rsidRPr="00C8636C">
        <w:t xml:space="preserve">la mise </w:t>
      </w:r>
      <w:r w:rsidR="005B3727" w:rsidRPr="00C8636C">
        <w:t>en place et la mise en œuvre de PTM contenues da</w:t>
      </w:r>
      <w:r w:rsidR="000C4E88" w:rsidRPr="00C8636C">
        <w:t>ns les documents de référence suggérés au niveau du module et de</w:t>
      </w:r>
      <w:r w:rsidR="005B3727" w:rsidRPr="00C8636C">
        <w:t>s étapes</w:t>
      </w:r>
      <w:r w:rsidR="000C4E88" w:rsidRPr="00C8636C">
        <w:t>.</w:t>
      </w:r>
    </w:p>
    <w:p w14:paraId="7D634801" w14:textId="4482DD76" w:rsidR="00557AB7" w:rsidRPr="00C8636C" w:rsidRDefault="00557AB7" w:rsidP="005F1CEC">
      <w:r w:rsidRPr="00C8636C">
        <w:t xml:space="preserve">Les étapes et </w:t>
      </w:r>
      <w:r w:rsidR="00BB34F4" w:rsidRPr="00C8636C">
        <w:t>les étapes subsidiaires sont indicatives et ne doivent pas nécessairement être réalisées selon l’ordre proposé</w:t>
      </w:r>
      <w:r w:rsidRPr="00C8636C">
        <w:t xml:space="preserve">. </w:t>
      </w:r>
      <w:r w:rsidR="00BB34F4" w:rsidRPr="00C8636C">
        <w:t>Il est probable que vous deviez aller et venir dans les documents du module pour obtenir les résultats attendus</w:t>
      </w:r>
      <w:r w:rsidRPr="00C8636C">
        <w:t xml:space="preserve">. </w:t>
      </w:r>
      <w:r w:rsidR="00BB34F4" w:rsidRPr="00C8636C">
        <w:t>Il se peut même que vous deviez sauter certaines des étapes ou des étapes subsidiaires proposées, en raison du manque de temps et de ressources, un problème courant dans les situations d’urgence</w:t>
      </w:r>
      <w:r w:rsidRPr="00C8636C">
        <w:t xml:space="preserve">. </w:t>
      </w:r>
      <w:r w:rsidR="00BB34F4" w:rsidRPr="00C8636C">
        <w:t xml:space="preserve">Dans tous les cas, vous devrez au moins respecter les normes minimales définies pour le module. Des normes minimales ont également été </w:t>
      </w:r>
      <w:r w:rsidR="005F1CEC">
        <w:t>établies</w:t>
      </w:r>
      <w:r w:rsidR="00BB34F4" w:rsidRPr="00C8636C">
        <w:t xml:space="preserve"> pour chaque étape afin de vous aider à définir les aspects prioritaires</w:t>
      </w:r>
      <w:r w:rsidRPr="00C8636C">
        <w:t>.</w:t>
      </w:r>
    </w:p>
    <w:p w14:paraId="64CE5010" w14:textId="77777777" w:rsidR="00853516" w:rsidRPr="00C8636C" w:rsidRDefault="00333EA9" w:rsidP="00F80FE8">
      <w:pPr>
        <w:pStyle w:val="Heading2"/>
        <w:keepNext w:val="0"/>
      </w:pPr>
      <w:r w:rsidRPr="00C8636C">
        <w:t>NORMES MINIMALES</w:t>
      </w:r>
    </w:p>
    <w:p w14:paraId="59E25FD6" w14:textId="298E3711" w:rsidR="00A16981" w:rsidRPr="00C8636C" w:rsidRDefault="0048526F" w:rsidP="00651DAB">
      <w:pPr>
        <w:pStyle w:val="Bullet1"/>
      </w:pPr>
      <w:r w:rsidRPr="00C8636C">
        <w:t>Élaborer un plan d</w:t>
      </w:r>
      <w:r w:rsidR="008E799E" w:rsidRPr="00C8636C">
        <w:t>’</w:t>
      </w:r>
      <w:r w:rsidRPr="00C8636C">
        <w:t>action opérationnel détaillé comprenant un cadre logique doté d</w:t>
      </w:r>
      <w:r w:rsidR="008E799E" w:rsidRPr="00C8636C">
        <w:t>’</w:t>
      </w:r>
      <w:r w:rsidRPr="00C8636C">
        <w:t xml:space="preserve">indicateurs mesurables pour </w:t>
      </w:r>
      <w:r w:rsidR="002F741F" w:rsidRPr="00C8636C">
        <w:t>chaque réalisation et produit</w:t>
      </w:r>
      <w:r w:rsidR="00E36278">
        <w:t xml:space="preserve"> attendus.</w:t>
      </w:r>
    </w:p>
    <w:p w14:paraId="5C836F67" w14:textId="758DC3FE" w:rsidR="00A16981" w:rsidRPr="00C8636C" w:rsidRDefault="00514690" w:rsidP="00F80FE8">
      <w:pPr>
        <w:pStyle w:val="Bullet1"/>
      </w:pPr>
      <w:r w:rsidRPr="00C8636C">
        <w:t xml:space="preserve">Définir les rôles et les responsabilités </w:t>
      </w:r>
      <w:r w:rsidR="002F741F" w:rsidRPr="00C8636C">
        <w:t>sur la base des</w:t>
      </w:r>
      <w:r w:rsidR="002D3D33" w:rsidRPr="00C8636C">
        <w:t xml:space="preserve"> </w:t>
      </w:r>
      <w:r w:rsidRPr="00C8636C">
        <w:t>procédures opérationnelles normalisées existantes et en accord avec les parties prenantes exte</w:t>
      </w:r>
      <w:r w:rsidR="002D3D33" w:rsidRPr="00C8636C">
        <w:t>r</w:t>
      </w:r>
      <w:r w:rsidR="00E36278">
        <w:t>nes, y compris le gouvernement.</w:t>
      </w:r>
    </w:p>
    <w:p w14:paraId="08320757" w14:textId="0B8F4D63" w:rsidR="007353CA" w:rsidRPr="00C8636C" w:rsidRDefault="007353CA" w:rsidP="00F80FE8">
      <w:pPr>
        <w:pStyle w:val="Bullet1"/>
      </w:pPr>
      <w:r w:rsidRPr="00C8636C">
        <w:t>Mettre en place un mécanisme de coordination interne</w:t>
      </w:r>
      <w:r w:rsidRPr="00C8636C">
        <w:rPr>
          <w:vertAlign w:val="superscript"/>
        </w:rPr>
        <w:footnoteReference w:id="1"/>
      </w:r>
      <w:r w:rsidRPr="00C8636C">
        <w:t xml:space="preserve"> afin d</w:t>
      </w:r>
      <w:r w:rsidR="008E799E" w:rsidRPr="00C8636C">
        <w:t>’</w:t>
      </w:r>
      <w:r w:rsidR="002F741F" w:rsidRPr="00C8636C">
        <w:t>associer</w:t>
      </w:r>
      <w:r w:rsidRPr="00C8636C">
        <w:t xml:space="preserve"> activement chaque unité dans le processus de mise en place et </w:t>
      </w:r>
      <w:r w:rsidR="002F741F" w:rsidRPr="00C8636C">
        <w:t xml:space="preserve">de </w:t>
      </w:r>
      <w:r w:rsidRPr="00C8636C">
        <w:t>mise en œuvre de</w:t>
      </w:r>
      <w:r w:rsidR="002F741F" w:rsidRPr="00C8636C">
        <w:t>s PTM</w:t>
      </w:r>
      <w:r w:rsidR="00E36278">
        <w:t>.</w:t>
      </w:r>
    </w:p>
    <w:p w14:paraId="716B4D2B" w14:textId="740ED892" w:rsidR="00514690" w:rsidRPr="00C8636C" w:rsidRDefault="002F741F" w:rsidP="005F1CEC">
      <w:pPr>
        <w:pStyle w:val="Bullet1"/>
      </w:pPr>
      <w:r w:rsidRPr="00C8636C">
        <w:t>Favoriser la</w:t>
      </w:r>
      <w:r w:rsidR="007353CA" w:rsidRPr="00C8636C">
        <w:t xml:space="preserve"> participation </w:t>
      </w:r>
      <w:r w:rsidR="00164C1C" w:rsidRPr="00C8636C">
        <w:t>aux</w:t>
      </w:r>
      <w:r w:rsidR="007353CA" w:rsidRPr="00C8636C">
        <w:t xml:space="preserve"> mécanismes de coordination</w:t>
      </w:r>
      <w:r w:rsidR="00164C1C" w:rsidRPr="00C8636C">
        <w:t xml:space="preserve"> </w:t>
      </w:r>
      <w:r w:rsidRPr="00C8636C">
        <w:t xml:space="preserve">externe </w:t>
      </w:r>
      <w:r w:rsidR="00164C1C" w:rsidRPr="00C8636C">
        <w:t>existants</w:t>
      </w:r>
      <w:r w:rsidR="007353CA" w:rsidRPr="00C8636C">
        <w:t xml:space="preserve">, </w:t>
      </w:r>
      <w:r w:rsidR="006122A7">
        <w:t>afin d’</w:t>
      </w:r>
      <w:r w:rsidR="007353CA" w:rsidRPr="00C8636C">
        <w:t xml:space="preserve">harmoniser les approches, </w:t>
      </w:r>
      <w:r w:rsidR="006122A7">
        <w:t>d’</w:t>
      </w:r>
      <w:r w:rsidR="007353CA" w:rsidRPr="00C8636C">
        <w:t xml:space="preserve">éviter les doubles emplois et les </w:t>
      </w:r>
      <w:r w:rsidR="005F1CEC">
        <w:t>lacunes</w:t>
      </w:r>
      <w:r w:rsidR="007353CA" w:rsidRPr="00C8636C">
        <w:t xml:space="preserve">, et </w:t>
      </w:r>
      <w:r w:rsidR="006122A7">
        <w:t xml:space="preserve">de </w:t>
      </w:r>
      <w:r w:rsidR="007353CA" w:rsidRPr="00C8636C">
        <w:t>partager le</w:t>
      </w:r>
      <w:r w:rsidR="00E36278">
        <w:t>s expériences.</w:t>
      </w:r>
    </w:p>
    <w:p w14:paraId="4B8F7488" w14:textId="166FFCBA" w:rsidR="00A16981" w:rsidRPr="00C8636C" w:rsidRDefault="00592161" w:rsidP="005F1CEC">
      <w:pPr>
        <w:pStyle w:val="Bullet1"/>
      </w:pPr>
      <w:r w:rsidRPr="00C8636C">
        <w:t xml:space="preserve">Mettre en place </w:t>
      </w:r>
      <w:r w:rsidR="005F1CEC">
        <w:t>des</w:t>
      </w:r>
      <w:r w:rsidRPr="00C8636C">
        <w:t xml:space="preserve"> système</w:t>
      </w:r>
      <w:r w:rsidR="005F1CEC">
        <w:t>s</w:t>
      </w:r>
      <w:r w:rsidRPr="00C8636C">
        <w:t xml:space="preserve"> de</w:t>
      </w:r>
      <w:r w:rsidR="00771093" w:rsidRPr="00C8636C">
        <w:t xml:space="preserve"> communication </w:t>
      </w:r>
      <w:r w:rsidR="00164C1C" w:rsidRPr="00C8636C">
        <w:t xml:space="preserve">avec les </w:t>
      </w:r>
      <w:r w:rsidR="00771093" w:rsidRPr="00C8636C">
        <w:t>bénéficiaire</w:t>
      </w:r>
      <w:r w:rsidRPr="00C8636C">
        <w:t>s</w:t>
      </w:r>
      <w:r w:rsidR="00164C1C" w:rsidRPr="00C8636C">
        <w:t xml:space="preserve"> et de re</w:t>
      </w:r>
      <w:r w:rsidRPr="00C8636C">
        <w:t>devabilité définissant clairement les rôles et l</w:t>
      </w:r>
      <w:r w:rsidR="00164C1C" w:rsidRPr="00C8636C">
        <w:t xml:space="preserve">es </w:t>
      </w:r>
      <w:r w:rsidR="00E36278">
        <w:t>responsabilités.</w:t>
      </w:r>
    </w:p>
    <w:p w14:paraId="79CC2D47" w14:textId="25A3AFF7" w:rsidR="00BF0392" w:rsidRPr="00C8636C" w:rsidRDefault="00DB06A1" w:rsidP="00F80FE8">
      <w:pPr>
        <w:pStyle w:val="Bullet1"/>
      </w:pPr>
      <w:r w:rsidRPr="00C8636C">
        <w:t xml:space="preserve">Lors de la sélection et </w:t>
      </w:r>
      <w:r w:rsidR="006C0720" w:rsidRPr="00C8636C">
        <w:t>du recrutement des prestataires</w:t>
      </w:r>
      <w:r w:rsidRPr="00C8636C">
        <w:t xml:space="preserve"> de services, </w:t>
      </w:r>
      <w:r w:rsidR="006C0720" w:rsidRPr="00C8636C">
        <w:t>associer les départements des</w:t>
      </w:r>
      <w:r w:rsidRPr="00C8636C">
        <w:t xml:space="preserve"> finance</w:t>
      </w:r>
      <w:r w:rsidR="000D4196" w:rsidRPr="00C8636C">
        <w:t>s</w:t>
      </w:r>
      <w:r w:rsidRPr="00C8636C">
        <w:t xml:space="preserve"> et</w:t>
      </w:r>
      <w:r w:rsidR="006C0720" w:rsidRPr="00C8636C">
        <w:t xml:space="preserve"> de</w:t>
      </w:r>
      <w:r w:rsidRPr="00C8636C">
        <w:t xml:space="preserve"> la logistique, et respecter les </w:t>
      </w:r>
      <w:r w:rsidR="006C0720" w:rsidRPr="00C8636C">
        <w:t xml:space="preserve">conditions </w:t>
      </w:r>
      <w:r w:rsidRPr="00C8636C">
        <w:t>générales de l</w:t>
      </w:r>
      <w:r w:rsidR="008E799E" w:rsidRPr="00C8636C">
        <w:t>’</w:t>
      </w:r>
      <w:r w:rsidR="00631146" w:rsidRPr="00C8636C">
        <w:t>organisation</w:t>
      </w:r>
      <w:r w:rsidR="006C0720" w:rsidRPr="00C8636C">
        <w:t xml:space="preserve"> en matière d’établissement de contrats</w:t>
      </w:r>
      <w:r w:rsidR="00E36278">
        <w:t>.</w:t>
      </w:r>
    </w:p>
    <w:p w14:paraId="3112E9E8" w14:textId="0245BD53" w:rsidR="00A16981" w:rsidRPr="00C8636C" w:rsidRDefault="00A16981" w:rsidP="00F80FE8">
      <w:pPr>
        <w:pStyle w:val="Bullet1"/>
      </w:pPr>
      <w:r w:rsidRPr="00C8636C">
        <w:t>N</w:t>
      </w:r>
      <w:r w:rsidR="008E799E" w:rsidRPr="00C8636C">
        <w:t>’</w:t>
      </w:r>
      <w:r w:rsidR="00A5741C" w:rsidRPr="00C8636C">
        <w:t>enregistr</w:t>
      </w:r>
      <w:r w:rsidRPr="00C8636C">
        <w:t>e</w:t>
      </w:r>
      <w:r w:rsidR="00A5741C" w:rsidRPr="00C8636C">
        <w:t>r</w:t>
      </w:r>
      <w:r w:rsidRPr="00C8636C">
        <w:t xml:space="preserve"> que les personnes </w:t>
      </w:r>
      <w:r w:rsidR="006C0720" w:rsidRPr="00C8636C">
        <w:t>qui répondent aux critères de ciblage des</w:t>
      </w:r>
      <w:r w:rsidRPr="00C8636C">
        <w:t xml:space="preserve"> transfert</w:t>
      </w:r>
      <w:r w:rsidR="006C0720" w:rsidRPr="00C8636C">
        <w:t>s monétaires</w:t>
      </w:r>
      <w:r w:rsidRPr="00C8636C">
        <w:t>, et veiller à ce que l</w:t>
      </w:r>
      <w:r w:rsidR="008E799E" w:rsidRPr="00C8636C">
        <w:t>’</w:t>
      </w:r>
      <w:r w:rsidRPr="00C8636C">
        <w:t xml:space="preserve">identification des bénéficiaires respecte les règlements financiers </w:t>
      </w:r>
      <w:r w:rsidR="00E36278">
        <w:t>nationaux.</w:t>
      </w:r>
    </w:p>
    <w:p w14:paraId="53FFBC4A" w14:textId="7BC2D52F" w:rsidR="00C00CF4" w:rsidRPr="00C8636C" w:rsidRDefault="00C00CF4" w:rsidP="00F80FE8">
      <w:pPr>
        <w:pStyle w:val="Bullet1"/>
      </w:pPr>
      <w:r w:rsidRPr="00C8636C">
        <w:lastRenderedPageBreak/>
        <w:t xml:space="preserve">Vérifier la liste des bénéficiaires </w:t>
      </w:r>
      <w:r w:rsidR="00631146" w:rsidRPr="00C8636C">
        <w:t>en effectuant</w:t>
      </w:r>
      <w:r w:rsidRPr="00C8636C">
        <w:t xml:space="preserve"> des visites aléatoires</w:t>
      </w:r>
      <w:r w:rsidR="00D04CC3" w:rsidRPr="00C8636C">
        <w:t xml:space="preserve"> dans les ménages</w:t>
      </w:r>
      <w:r w:rsidRPr="00C8636C">
        <w:t xml:space="preserve"> ou </w:t>
      </w:r>
      <w:r w:rsidR="00631146" w:rsidRPr="00C8636C">
        <w:t xml:space="preserve">via </w:t>
      </w:r>
      <w:r w:rsidRPr="00C8636C">
        <w:t>d</w:t>
      </w:r>
      <w:r w:rsidR="008E799E" w:rsidRPr="00C8636C">
        <w:t>’</w:t>
      </w:r>
      <w:r w:rsidR="00E36278">
        <w:t>autres moyens appropriés.</w:t>
      </w:r>
    </w:p>
    <w:p w14:paraId="480B8A1C" w14:textId="16159702" w:rsidR="00A16981" w:rsidRPr="00C8636C" w:rsidRDefault="005E4709" w:rsidP="00A47F49">
      <w:pPr>
        <w:pStyle w:val="Bullet1"/>
      </w:pPr>
      <w:r w:rsidRPr="00C8636C">
        <w:t>Vérifier</w:t>
      </w:r>
      <w:r w:rsidR="00E36278">
        <w:t>,</w:t>
      </w:r>
      <w:r w:rsidRPr="00C8636C">
        <w:t xml:space="preserve"> au niveau local</w:t>
      </w:r>
      <w:r w:rsidR="00E36278">
        <w:t xml:space="preserve">, </w:t>
      </w:r>
      <w:r w:rsidRPr="00C8636C">
        <w:t xml:space="preserve">que les plans </w:t>
      </w:r>
      <w:r w:rsidR="00631146" w:rsidRPr="00C8636C">
        <w:t>de versement</w:t>
      </w:r>
      <w:r w:rsidR="00D04CC3" w:rsidRPr="00C8636C">
        <w:t xml:space="preserve"> so</w:t>
      </w:r>
      <w:r w:rsidRPr="00C8636C">
        <w:t>nt compatibles avec l</w:t>
      </w:r>
      <w:r w:rsidR="008E799E" w:rsidRPr="00C8636C">
        <w:t>’</w:t>
      </w:r>
      <w:r w:rsidRPr="00C8636C">
        <w:t xml:space="preserve">emplacement </w:t>
      </w:r>
      <w:r w:rsidR="00D04CC3" w:rsidRPr="00C8636C">
        <w:t xml:space="preserve">et les capacités </w:t>
      </w:r>
      <w:r w:rsidRPr="00C8636C">
        <w:t xml:space="preserve">du </w:t>
      </w:r>
      <w:r w:rsidR="00D04CC3" w:rsidRPr="00C8636C">
        <w:t>prestataire</w:t>
      </w:r>
      <w:r w:rsidR="00E36278">
        <w:t xml:space="preserve"> de services.</w:t>
      </w:r>
    </w:p>
    <w:p w14:paraId="5DB00A23" w14:textId="613F24BE" w:rsidR="00E922F6" w:rsidRPr="00C8636C" w:rsidRDefault="00D04CC3" w:rsidP="00F80FE8">
      <w:pPr>
        <w:pStyle w:val="Bullet1"/>
      </w:pPr>
      <w:r w:rsidRPr="00C8636C">
        <w:t xml:space="preserve">Dans le cas des programmes </w:t>
      </w:r>
      <w:r w:rsidR="00631146" w:rsidRPr="00C8636C">
        <w:t>« argent contre travail »</w:t>
      </w:r>
      <w:r w:rsidR="00DB06A1" w:rsidRPr="00C8636C">
        <w:t>, veiller à ce que les conditions de travail soient culturellement appropriées</w:t>
      </w:r>
      <w:r w:rsidRPr="00C8636C">
        <w:t xml:space="preserve"> et</w:t>
      </w:r>
      <w:r w:rsidR="00DB06A1" w:rsidRPr="00C8636C">
        <w:t xml:space="preserve"> compatibles avec la capacité « physique » des travailleurs, et</w:t>
      </w:r>
      <w:r w:rsidR="00C540B1" w:rsidRPr="00C8636C">
        <w:t xml:space="preserve"> s’assurer </w:t>
      </w:r>
      <w:r w:rsidR="005F1CEC">
        <w:t xml:space="preserve">que </w:t>
      </w:r>
      <w:r w:rsidR="00C540B1" w:rsidRPr="00C8636C">
        <w:t>l</w:t>
      </w:r>
      <w:r w:rsidR="00DB06A1" w:rsidRPr="00C8636C">
        <w:t>es</w:t>
      </w:r>
      <w:r w:rsidR="00C540B1" w:rsidRPr="00C8636C">
        <w:t xml:space="preserve"> taux de rémunération s’inscrivent dans</w:t>
      </w:r>
      <w:r w:rsidR="00DB06A1" w:rsidRPr="00C8636C">
        <w:t xml:space="preserve"> la législation locale.</w:t>
      </w:r>
    </w:p>
    <w:p w14:paraId="6A500DB5" w14:textId="67F17CFA" w:rsidR="00D528AB" w:rsidRPr="00C8636C" w:rsidRDefault="00996780" w:rsidP="00F80FE8">
      <w:pPr>
        <w:pStyle w:val="Heading2"/>
        <w:keepNext w:val="0"/>
      </w:pPr>
      <w:r w:rsidRPr="00C8636C">
        <w:t xml:space="preserve">ÉTAPES </w:t>
      </w:r>
      <w:r w:rsidR="00C540B1" w:rsidRPr="00C8636C">
        <w:t>ET ÉTAPES SUBSIDIAIRES</w:t>
      </w:r>
    </w:p>
    <w:p w14:paraId="1C2AB658" w14:textId="1DEC6B62" w:rsidR="004E5BB5" w:rsidRPr="00C8636C" w:rsidRDefault="004E5BB5" w:rsidP="00F80FE8">
      <w:r w:rsidRPr="00C8636C">
        <w:t xml:space="preserve">La </w:t>
      </w:r>
      <w:r w:rsidR="00C540B1" w:rsidRPr="00C8636C">
        <w:t>B</w:t>
      </w:r>
      <w:r w:rsidRPr="00C8636C">
        <w:t xml:space="preserve">oîte à outils propose cinq étapes pour la mise en place et la mise en œuvre de </w:t>
      </w:r>
      <w:r w:rsidR="00C540B1" w:rsidRPr="00C8636C">
        <w:t xml:space="preserve">PTM dans les situations </w:t>
      </w:r>
      <w:r w:rsidRPr="00C8636C">
        <w:t>d</w:t>
      </w:r>
      <w:r w:rsidR="008E799E" w:rsidRPr="00C8636C">
        <w:t>’</w:t>
      </w:r>
      <w:r w:rsidRPr="00C8636C">
        <w:t>urgence</w:t>
      </w:r>
      <w:r w:rsidR="00C540B1" w:rsidRPr="00C8636C">
        <w:t>. Elle contient des ressources visant à vous aider à :</w:t>
      </w:r>
    </w:p>
    <w:p w14:paraId="2DA1FC6D" w14:textId="3C37CA86" w:rsidR="00D528AB" w:rsidRPr="00C8636C" w:rsidRDefault="00D422E5" w:rsidP="00F80FE8">
      <w:r w:rsidRPr="00C8636C">
        <w:rPr>
          <w:b/>
        </w:rPr>
        <w:t xml:space="preserve">Mettre en place </w:t>
      </w:r>
      <w:r w:rsidR="00C540B1" w:rsidRPr="00C8636C">
        <w:rPr>
          <w:b/>
        </w:rPr>
        <w:t>d</w:t>
      </w:r>
      <w:r w:rsidRPr="00C8636C">
        <w:rPr>
          <w:b/>
        </w:rPr>
        <w:t>es programmes de transferts monétaires,</w:t>
      </w:r>
      <w:r w:rsidRPr="00C8636C">
        <w:t xml:space="preserve"> en commençant par l</w:t>
      </w:r>
      <w:r w:rsidR="008E799E" w:rsidRPr="00C8636C">
        <w:t>’</w:t>
      </w:r>
      <w:r w:rsidRPr="00C8636C">
        <w:t>élaboration d</w:t>
      </w:r>
      <w:r w:rsidR="008E799E" w:rsidRPr="00C8636C">
        <w:t>’</w:t>
      </w:r>
      <w:r w:rsidRPr="00C8636C">
        <w:t xml:space="preserve">un plan opérationnel robuste présentant une stratégie </w:t>
      </w:r>
      <w:r w:rsidR="00C540B1" w:rsidRPr="00C8636C">
        <w:t xml:space="preserve">globale </w:t>
      </w:r>
      <w:r w:rsidRPr="00C8636C">
        <w:t>détaillée, les objectifs, la structure sur le terrain, les ressources, les coûts</w:t>
      </w:r>
      <w:r w:rsidR="00C540B1" w:rsidRPr="00C8636C">
        <w:t xml:space="preserve"> et les réalisations et produits </w:t>
      </w:r>
      <w:r w:rsidRPr="00C8636C">
        <w:t xml:space="preserve">attendus. Lors de cette étape, vous devez également établir des systèmes de coordination interne et externe solides, </w:t>
      </w:r>
      <w:r w:rsidR="00C540B1" w:rsidRPr="00C8636C">
        <w:t>des mécanismes essentiels au</w:t>
      </w:r>
      <w:r w:rsidRPr="00C8636C">
        <w:t xml:space="preserve"> succès des </w:t>
      </w:r>
      <w:r w:rsidR="00C540B1" w:rsidRPr="00C8636C">
        <w:t>PTM</w:t>
      </w:r>
      <w:r w:rsidRPr="00C8636C">
        <w:t>.</w:t>
      </w:r>
    </w:p>
    <w:p w14:paraId="3A5DACC0" w14:textId="0D1174CA" w:rsidR="000F0CF2" w:rsidRPr="00C8636C" w:rsidRDefault="00D422E5" w:rsidP="00F80FE8">
      <w:r w:rsidRPr="00C8636C">
        <w:rPr>
          <w:b/>
          <w:color w:val="000000"/>
        </w:rPr>
        <w:t>Communiquer avec les bénéficiaires et leur rendre des comptes</w:t>
      </w:r>
      <w:r w:rsidRPr="00C8636C">
        <w:rPr>
          <w:rStyle w:val="FootnoteReference"/>
          <w:b/>
          <w:color w:val="000000"/>
        </w:rPr>
        <w:footnoteReference w:id="2"/>
      </w:r>
      <w:r w:rsidRPr="00C8636C">
        <w:rPr>
          <w:color w:val="000000"/>
        </w:rPr>
        <w:t xml:space="preserve">. </w:t>
      </w:r>
      <w:r w:rsidR="00E82A54" w:rsidRPr="00C8636C">
        <w:rPr>
          <w:color w:val="000000"/>
        </w:rPr>
        <w:t>Cette étape</w:t>
      </w:r>
      <w:r w:rsidRPr="00C8636C">
        <w:rPr>
          <w:color w:val="000000"/>
        </w:rPr>
        <w:t xml:space="preserve"> commence </w:t>
      </w:r>
      <w:r w:rsidR="00E82A54" w:rsidRPr="00C8636C">
        <w:rPr>
          <w:color w:val="000000"/>
        </w:rPr>
        <w:t xml:space="preserve">également </w:t>
      </w:r>
      <w:r w:rsidRPr="00C8636C">
        <w:rPr>
          <w:color w:val="000000"/>
        </w:rPr>
        <w:t xml:space="preserve">par </w:t>
      </w:r>
      <w:r w:rsidRPr="00C8636C">
        <w:t>l</w:t>
      </w:r>
      <w:r w:rsidR="008E799E" w:rsidRPr="00C8636C">
        <w:t>’</w:t>
      </w:r>
      <w:r w:rsidRPr="00C8636C">
        <w:t>élaboration d</w:t>
      </w:r>
      <w:r w:rsidR="008E799E" w:rsidRPr="00C8636C">
        <w:t>’</w:t>
      </w:r>
      <w:r w:rsidRPr="00C8636C">
        <w:t>un plan définissant l</w:t>
      </w:r>
      <w:r w:rsidR="008E799E" w:rsidRPr="00C8636C">
        <w:t>’</w:t>
      </w:r>
      <w:r w:rsidRPr="00C8636C">
        <w:t xml:space="preserve">approche </w:t>
      </w:r>
      <w:r w:rsidR="00E82A54" w:rsidRPr="00C8636C">
        <w:t xml:space="preserve">en matière de communication avec les communautés </w:t>
      </w:r>
      <w:r w:rsidR="00EC392C" w:rsidRPr="00C8636C">
        <w:t xml:space="preserve">qui sera adoptée </w:t>
      </w:r>
      <w:r w:rsidR="00E82A54" w:rsidRPr="00C8636C">
        <w:t>tout au long du programme</w:t>
      </w:r>
      <w:r w:rsidRPr="00C8636C">
        <w:t>. Ce plan devrait inclure le renforcement des capacités du personnel, la sélection de</w:t>
      </w:r>
      <w:r w:rsidR="00EC392C" w:rsidRPr="00C8636C">
        <w:t>s</w:t>
      </w:r>
      <w:r w:rsidRPr="00C8636C">
        <w:t xml:space="preserve"> canaux et </w:t>
      </w:r>
      <w:r w:rsidR="00EC392C" w:rsidRPr="00C8636C">
        <w:t xml:space="preserve">outils de communication, l’élaboration </w:t>
      </w:r>
      <w:r w:rsidRPr="00C8636C">
        <w:t>de</w:t>
      </w:r>
      <w:r w:rsidR="00A10032" w:rsidRPr="00C8636C">
        <w:t xml:space="preserve"> messages</w:t>
      </w:r>
      <w:r w:rsidR="00EC392C" w:rsidRPr="00C8636C">
        <w:t xml:space="preserve"> à l’intention des différents</w:t>
      </w:r>
      <w:r w:rsidRPr="00C8636C">
        <w:t xml:space="preserve"> pub</w:t>
      </w:r>
      <w:r w:rsidR="00A10032" w:rsidRPr="00C8636C">
        <w:t>lic</w:t>
      </w:r>
      <w:r w:rsidR="00EC392C" w:rsidRPr="00C8636C">
        <w:t>s</w:t>
      </w:r>
      <w:r w:rsidR="00A10032" w:rsidRPr="00C8636C">
        <w:t xml:space="preserve"> cible</w:t>
      </w:r>
      <w:r w:rsidR="00EC392C" w:rsidRPr="00C8636C">
        <w:t>s</w:t>
      </w:r>
      <w:r w:rsidRPr="00C8636C">
        <w:t>, ainsi que la conception et la mise en place d</w:t>
      </w:r>
      <w:r w:rsidR="008E799E" w:rsidRPr="00C8636C">
        <w:t>’</w:t>
      </w:r>
      <w:r w:rsidRPr="00C8636C">
        <w:t xml:space="preserve">un mécanisme de </w:t>
      </w:r>
      <w:r w:rsidR="00EC392C" w:rsidRPr="00C8636C">
        <w:t>retours d’information</w:t>
      </w:r>
      <w:r w:rsidRPr="00C8636C">
        <w:t xml:space="preserve">. </w:t>
      </w:r>
      <w:r w:rsidR="00ED4639" w:rsidRPr="00C8636C">
        <w:t>Aux fins de tirer des enseignements, la communication avec les bénéficiaires d</w:t>
      </w:r>
      <w:r w:rsidR="004F338C" w:rsidRPr="00C8636C">
        <w:t>o</w:t>
      </w:r>
      <w:r w:rsidR="00ED4639" w:rsidRPr="00C8636C">
        <w:t>it faire l’objet d’un examen</w:t>
      </w:r>
      <w:r w:rsidRPr="00C8636C">
        <w:t>, soit en tant qu</w:t>
      </w:r>
      <w:r w:rsidR="008E799E" w:rsidRPr="00C8636C">
        <w:t>’</w:t>
      </w:r>
      <w:r w:rsidRPr="00C8636C">
        <w:t>activité autonome, soit dans le cadre d</w:t>
      </w:r>
      <w:r w:rsidR="004F338C" w:rsidRPr="00C8636C">
        <w:t>e l’</w:t>
      </w:r>
      <w:r w:rsidRPr="00C8636C">
        <w:t>examen global du programme.</w:t>
      </w:r>
    </w:p>
    <w:p w14:paraId="36B922B5" w14:textId="7CFD9BC8" w:rsidR="00D528AB" w:rsidRPr="00C8636C" w:rsidRDefault="00D422E5" w:rsidP="00F80FE8">
      <w:r w:rsidRPr="00C8636C">
        <w:rPr>
          <w:b/>
        </w:rPr>
        <w:t xml:space="preserve">Sélectionner et </w:t>
      </w:r>
      <w:r w:rsidR="00ED4639" w:rsidRPr="00C8636C">
        <w:rPr>
          <w:b/>
        </w:rPr>
        <w:t>recruter</w:t>
      </w:r>
      <w:r w:rsidRPr="00C8636C">
        <w:rPr>
          <w:b/>
        </w:rPr>
        <w:t xml:space="preserve"> les </w:t>
      </w:r>
      <w:r w:rsidR="00ED4639" w:rsidRPr="00C8636C">
        <w:rPr>
          <w:b/>
        </w:rPr>
        <w:t>prestataires</w:t>
      </w:r>
      <w:r w:rsidRPr="00C8636C">
        <w:rPr>
          <w:b/>
        </w:rPr>
        <w:t xml:space="preserve"> de services</w:t>
      </w:r>
      <w:r w:rsidRPr="00C8636C">
        <w:t xml:space="preserve"> </w:t>
      </w:r>
      <w:r w:rsidR="00ED4639" w:rsidRPr="00C8636C">
        <w:t>qui assureront la distribution des espèces</w:t>
      </w:r>
      <w:r w:rsidRPr="00C8636C">
        <w:t xml:space="preserve"> aux bénéficiaires. Cette étape p</w:t>
      </w:r>
      <w:r w:rsidR="00ED4639" w:rsidRPr="00C8636C">
        <w:t>ouvant</w:t>
      </w:r>
      <w:r w:rsidRPr="00C8636C">
        <w:t xml:space="preserve"> nécessiter </w:t>
      </w:r>
      <w:r w:rsidR="00ED4639" w:rsidRPr="00C8636C">
        <w:t>une</w:t>
      </w:r>
      <w:r w:rsidRPr="00C8636C">
        <w:t xml:space="preserve"> analyse </w:t>
      </w:r>
      <w:r w:rsidR="007B4CA2" w:rsidRPr="00C8636C">
        <w:t>approfondie</w:t>
      </w:r>
      <w:r w:rsidR="00ED4639" w:rsidRPr="00C8636C">
        <w:t xml:space="preserve">, </w:t>
      </w:r>
      <w:r w:rsidR="004F338C" w:rsidRPr="00C8636C">
        <w:t>vous devrez peut-être y affecter des membres du personnel qui travailleront en collaboration</w:t>
      </w:r>
      <w:r w:rsidRPr="00C8636C">
        <w:t xml:space="preserve"> avec l</w:t>
      </w:r>
      <w:r w:rsidR="007B4CA2" w:rsidRPr="00C8636C">
        <w:t>es</w:t>
      </w:r>
      <w:r w:rsidR="004F338C" w:rsidRPr="00C8636C">
        <w:t xml:space="preserve"> départements des</w:t>
      </w:r>
      <w:r w:rsidRPr="00C8636C">
        <w:t xml:space="preserve"> finance</w:t>
      </w:r>
      <w:r w:rsidR="007B4CA2" w:rsidRPr="00C8636C">
        <w:t>s</w:t>
      </w:r>
      <w:r w:rsidRPr="00C8636C">
        <w:t xml:space="preserve"> et</w:t>
      </w:r>
      <w:r w:rsidR="004F338C" w:rsidRPr="00C8636C">
        <w:t xml:space="preserve"> de</w:t>
      </w:r>
      <w:r w:rsidRPr="00C8636C">
        <w:t xml:space="preserve"> la logistique. Selon la complexité du secteur </w:t>
      </w:r>
      <w:r w:rsidR="004F338C" w:rsidRPr="00C8636C">
        <w:t>dans lequel opèrent les prestataires</w:t>
      </w:r>
      <w:r w:rsidRPr="00C8636C">
        <w:t xml:space="preserve"> de services, cette étape peut </w:t>
      </w:r>
      <w:r w:rsidR="007B4CA2" w:rsidRPr="00C8636C">
        <w:t>débuter au</w:t>
      </w:r>
      <w:r w:rsidRPr="00C8636C">
        <w:t xml:space="preserve"> cours de la phase d</w:t>
      </w:r>
      <w:r w:rsidR="008E799E" w:rsidRPr="00C8636C">
        <w:t>’</w:t>
      </w:r>
      <w:r w:rsidR="004F338C" w:rsidRPr="00C8636C">
        <w:t xml:space="preserve">évaluation, qui regroupe </w:t>
      </w:r>
      <w:r w:rsidR="007D3CF6" w:rsidRPr="00C8636C">
        <w:t>nombre de parties prenantes dont l</w:t>
      </w:r>
      <w:r w:rsidR="008E799E" w:rsidRPr="00C8636C">
        <w:t>’</w:t>
      </w:r>
      <w:r w:rsidR="007B4CA2" w:rsidRPr="00C8636C">
        <w:t xml:space="preserve">expertise </w:t>
      </w:r>
      <w:r w:rsidR="007D3CF6" w:rsidRPr="00C8636C">
        <w:t>peut vous être utile</w:t>
      </w:r>
      <w:r w:rsidRPr="00C8636C">
        <w:t>. Le</w:t>
      </w:r>
      <w:r w:rsidR="007D3CF6" w:rsidRPr="00C8636C">
        <w:t>s étapes du</w:t>
      </w:r>
      <w:r w:rsidRPr="00C8636C">
        <w:t xml:space="preserve"> processus</w:t>
      </w:r>
      <w:r w:rsidR="007D3CF6" w:rsidRPr="00C8636C">
        <w:t xml:space="preserve"> sont les suivantes : </w:t>
      </w:r>
      <w:r w:rsidR="007B4CA2" w:rsidRPr="00C8636C">
        <w:t>chercher et</w:t>
      </w:r>
      <w:r w:rsidRPr="00C8636C">
        <w:t xml:space="preserve"> circonscrire les </w:t>
      </w:r>
      <w:r w:rsidR="007D3CF6" w:rsidRPr="00C8636C">
        <w:t>prestataires</w:t>
      </w:r>
      <w:r w:rsidRPr="00C8636C">
        <w:t xml:space="preserve"> de services potent</w:t>
      </w:r>
      <w:r w:rsidR="007D3CF6" w:rsidRPr="00C8636C">
        <w:t>iels selon les critères établis ;</w:t>
      </w:r>
      <w:r w:rsidRPr="00C8636C">
        <w:t xml:space="preserve"> mener un processus d</w:t>
      </w:r>
      <w:r w:rsidR="008E799E" w:rsidRPr="00C8636C">
        <w:t>’</w:t>
      </w:r>
      <w:r w:rsidRPr="00C8636C">
        <w:t>appel d</w:t>
      </w:r>
      <w:r w:rsidR="008E799E" w:rsidRPr="00C8636C">
        <w:t>’</w:t>
      </w:r>
      <w:r w:rsidRPr="00C8636C">
        <w:t xml:space="preserve">offres et de </w:t>
      </w:r>
      <w:r w:rsidR="007D3CF6" w:rsidRPr="00C8636C">
        <w:t>sélection ; et,</w:t>
      </w:r>
      <w:r w:rsidRPr="00C8636C">
        <w:t xml:space="preserve"> finalement</w:t>
      </w:r>
      <w:r w:rsidR="007D3CF6" w:rsidRPr="00C8636C">
        <w:t xml:space="preserve">, recruter les prestataires de services et </w:t>
      </w:r>
      <w:r w:rsidRPr="00C8636C">
        <w:t xml:space="preserve">définir les moyens de travailler avec </w:t>
      </w:r>
      <w:r w:rsidR="007D3CF6" w:rsidRPr="00C8636C">
        <w:t>eux</w:t>
      </w:r>
      <w:r w:rsidRPr="00C8636C">
        <w:t xml:space="preserve">. </w:t>
      </w:r>
      <w:r w:rsidR="007D3CF6" w:rsidRPr="00C8636C">
        <w:t>Tout au long de cette étape, u</w:t>
      </w:r>
      <w:r w:rsidRPr="00C8636C">
        <w:t xml:space="preserve">ne </w:t>
      </w:r>
      <w:r w:rsidR="007D3CF6" w:rsidRPr="00C8636C">
        <w:t>attention particulière doit être accordée</w:t>
      </w:r>
      <w:r w:rsidRPr="00C8636C">
        <w:t xml:space="preserve"> </w:t>
      </w:r>
      <w:r w:rsidR="007D3CF6" w:rsidRPr="00C8636C">
        <w:t>à</w:t>
      </w:r>
      <w:r w:rsidRPr="00C8636C">
        <w:t xml:space="preserve"> la gestion et</w:t>
      </w:r>
      <w:r w:rsidR="007D3CF6" w:rsidRPr="00C8636C">
        <w:t xml:space="preserve"> à</w:t>
      </w:r>
      <w:r w:rsidRPr="00C8636C">
        <w:t xml:space="preserve"> la protection des données relatives aux bénéficiaires, </w:t>
      </w:r>
      <w:r w:rsidR="007D3CF6" w:rsidRPr="00C8636C">
        <w:t>afin de prévenir</w:t>
      </w:r>
      <w:r w:rsidRPr="00C8636C">
        <w:t xml:space="preserve"> </w:t>
      </w:r>
      <w:r w:rsidR="007D3CF6" w:rsidRPr="00C8636C">
        <w:t>l</w:t>
      </w:r>
      <w:r w:rsidRPr="00C8636C">
        <w:t xml:space="preserve">es risques potentiels </w:t>
      </w:r>
      <w:r w:rsidR="007D3CF6" w:rsidRPr="00C8636C">
        <w:t>pour la</w:t>
      </w:r>
      <w:r w:rsidRPr="00C8636C">
        <w:t xml:space="preserve"> vie privée</w:t>
      </w:r>
      <w:r w:rsidR="00A5741C" w:rsidRPr="00C8636C">
        <w:t xml:space="preserve"> des individus</w:t>
      </w:r>
      <w:r w:rsidRPr="00C8636C">
        <w:t>, ainsi qu</w:t>
      </w:r>
      <w:r w:rsidR="00A5741C" w:rsidRPr="00C8636C">
        <w:t xml:space="preserve">e les risques de </w:t>
      </w:r>
      <w:r w:rsidRPr="00C8636C">
        <w:t xml:space="preserve">fraude et </w:t>
      </w:r>
      <w:r w:rsidR="00A5741C" w:rsidRPr="00C8636C">
        <w:t>d’</w:t>
      </w:r>
      <w:r w:rsidRPr="00C8636C">
        <w:t>abus.</w:t>
      </w:r>
    </w:p>
    <w:p w14:paraId="5F168529" w14:textId="61882F96" w:rsidR="00914B51" w:rsidRPr="00C8636C" w:rsidRDefault="00330E0B" w:rsidP="00F80FE8">
      <w:r w:rsidRPr="00C8636C">
        <w:rPr>
          <w:b/>
        </w:rPr>
        <w:t>Enregistrer et i</w:t>
      </w:r>
      <w:r w:rsidR="00A5741C" w:rsidRPr="00C8636C">
        <w:rPr>
          <w:b/>
        </w:rPr>
        <w:t xml:space="preserve">dentifier </w:t>
      </w:r>
      <w:r w:rsidR="0048526F" w:rsidRPr="00C8636C">
        <w:rPr>
          <w:b/>
        </w:rPr>
        <w:t>les bénéficiaires</w:t>
      </w:r>
      <w:r w:rsidR="0048526F" w:rsidRPr="00C8636C">
        <w:t>. Ces deux processus sont étroitement liés, car c</w:t>
      </w:r>
      <w:r w:rsidR="008E799E" w:rsidRPr="00C8636C">
        <w:t>’</w:t>
      </w:r>
      <w:r w:rsidR="0048526F" w:rsidRPr="00C8636C">
        <w:t xml:space="preserve">est </w:t>
      </w:r>
      <w:r w:rsidRPr="00C8636C">
        <w:t xml:space="preserve">au moment de l’enregistrement </w:t>
      </w:r>
      <w:r w:rsidR="0048526F" w:rsidRPr="00C8636C">
        <w:t>qu</w:t>
      </w:r>
      <w:r w:rsidR="008E799E" w:rsidRPr="00C8636C">
        <w:t>’</w:t>
      </w:r>
      <w:r w:rsidR="0048526F" w:rsidRPr="00C8636C">
        <w:t xml:space="preserve">un lien </w:t>
      </w:r>
      <w:r w:rsidRPr="00C8636C">
        <w:t>se crée avec</w:t>
      </w:r>
      <w:r w:rsidR="0048526F" w:rsidRPr="00C8636C">
        <w:t xml:space="preserve"> </w:t>
      </w:r>
      <w:r w:rsidRPr="00C8636C">
        <w:t>les</w:t>
      </w:r>
      <w:r w:rsidR="0048526F" w:rsidRPr="00C8636C">
        <w:t xml:space="preserve"> bénéficiaire</w:t>
      </w:r>
      <w:r w:rsidRPr="00C8636C">
        <w:t xml:space="preserve">s et qu’un </w:t>
      </w:r>
      <w:r w:rsidR="0048526F" w:rsidRPr="00C8636C">
        <w:t>identifiant unique</w:t>
      </w:r>
      <w:r w:rsidRPr="00C8636C">
        <w:t xml:space="preserve"> leur est attribué</w:t>
      </w:r>
      <w:r w:rsidR="0048526F" w:rsidRPr="00C8636C">
        <w:t>. Avant de procéder à l</w:t>
      </w:r>
      <w:r w:rsidR="008E799E" w:rsidRPr="00C8636C">
        <w:t>’</w:t>
      </w:r>
      <w:r w:rsidR="00FD449F" w:rsidRPr="00C8636C">
        <w:t>enregistrement</w:t>
      </w:r>
      <w:r w:rsidR="0048526F" w:rsidRPr="00C8636C">
        <w:t xml:space="preserve">, </w:t>
      </w:r>
      <w:r w:rsidR="00FD449F" w:rsidRPr="00C8636C">
        <w:t xml:space="preserve">vous devez </w:t>
      </w:r>
      <w:r w:rsidR="0048526F" w:rsidRPr="00C8636C">
        <w:t>vérifier la liste</w:t>
      </w:r>
      <w:r w:rsidR="00FD449F" w:rsidRPr="00C8636C">
        <w:t xml:space="preserve"> des bénéficiaires, par exemple</w:t>
      </w:r>
      <w:r w:rsidR="0048526F" w:rsidRPr="00C8636C">
        <w:t xml:space="preserve"> </w:t>
      </w:r>
      <w:r w:rsidR="00FD449F" w:rsidRPr="00C8636C">
        <w:t>en effectuant des visites aléatoires dans les ménages</w:t>
      </w:r>
      <w:r w:rsidR="0048526F" w:rsidRPr="00C8636C">
        <w:t>, afin de mi</w:t>
      </w:r>
      <w:r w:rsidR="00D1130E" w:rsidRPr="00C8636C">
        <w:t>nimiser les erreurs de ciblage. C</w:t>
      </w:r>
      <w:r w:rsidR="0048526F" w:rsidRPr="00C8636C">
        <w:t>ertaine</w:t>
      </w:r>
      <w:r w:rsidR="00FD449F" w:rsidRPr="00C8636C">
        <w:t xml:space="preserve">s mesures préparatoires </w:t>
      </w:r>
      <w:r w:rsidR="0048526F" w:rsidRPr="00C8636C">
        <w:t xml:space="preserve">clés </w:t>
      </w:r>
      <w:r w:rsidR="00D1130E" w:rsidRPr="00C8636C">
        <w:t xml:space="preserve">permettent </w:t>
      </w:r>
      <w:r w:rsidR="00FD449F" w:rsidRPr="00C8636C">
        <w:t>de garantir le bon déroulement du</w:t>
      </w:r>
      <w:r w:rsidR="00D1130E" w:rsidRPr="00C8636C">
        <w:t xml:space="preserve"> processus d</w:t>
      </w:r>
      <w:r w:rsidR="008E799E" w:rsidRPr="00C8636C">
        <w:t>’</w:t>
      </w:r>
      <w:r w:rsidR="00D1130E" w:rsidRPr="00C8636C">
        <w:t>enregistrement</w:t>
      </w:r>
      <w:r w:rsidR="00FD449F" w:rsidRPr="00C8636C">
        <w:t>. Il s’agit notamment de</w:t>
      </w:r>
      <w:r w:rsidR="0048526F" w:rsidRPr="00C8636C">
        <w:t xml:space="preserve"> décider des rôles, des responsabilités et des méthodes de travail ; </w:t>
      </w:r>
      <w:r w:rsidR="00FD449F" w:rsidRPr="00C8636C">
        <w:t>de définir quelles</w:t>
      </w:r>
      <w:r w:rsidR="0048526F" w:rsidRPr="00C8636C">
        <w:t xml:space="preserve"> informations</w:t>
      </w:r>
      <w:r w:rsidR="00FD449F" w:rsidRPr="00C8636C">
        <w:t xml:space="preserve"> doivent être collectées et auprès de qui</w:t>
      </w:r>
      <w:r w:rsidR="0048526F" w:rsidRPr="00C8636C">
        <w:t xml:space="preserve"> ; </w:t>
      </w:r>
      <w:r w:rsidR="00FD449F" w:rsidRPr="00C8636C">
        <w:t xml:space="preserve">de </w:t>
      </w:r>
      <w:r w:rsidR="0048526F" w:rsidRPr="00C8636C">
        <w:t xml:space="preserve">créer une base de données ; </w:t>
      </w:r>
      <w:r w:rsidR="00FD449F" w:rsidRPr="00C8636C">
        <w:t>d’élaborer les</w:t>
      </w:r>
      <w:r w:rsidR="0048526F" w:rsidRPr="00C8636C">
        <w:t xml:space="preserve"> formulaires d</w:t>
      </w:r>
      <w:r w:rsidR="008E799E" w:rsidRPr="00C8636C">
        <w:t>’</w:t>
      </w:r>
      <w:r w:rsidR="00FD449F" w:rsidRPr="00C8636C">
        <w:t>enregistrement</w:t>
      </w:r>
      <w:r w:rsidR="0048526F" w:rsidRPr="00C8636C">
        <w:t xml:space="preserve"> ; </w:t>
      </w:r>
      <w:r w:rsidR="00FD449F" w:rsidRPr="00C8636C">
        <w:t>et d’</w:t>
      </w:r>
      <w:r w:rsidR="0048526F" w:rsidRPr="00C8636C">
        <w:t>organiser l</w:t>
      </w:r>
      <w:r w:rsidR="00FD449F" w:rsidRPr="00C8636C">
        <w:t>es séances d’enregistrement</w:t>
      </w:r>
      <w:r w:rsidR="0048526F" w:rsidRPr="00C8636C">
        <w:t>. Lors des distributions/</w:t>
      </w:r>
      <w:r w:rsidR="00D1130E" w:rsidRPr="00C8636C">
        <w:t>versements</w:t>
      </w:r>
      <w:r w:rsidR="0048526F" w:rsidRPr="00C8636C">
        <w:t>, les bénéficiaires et/ou leurs représentants</w:t>
      </w:r>
      <w:r w:rsidR="0048526F" w:rsidRPr="00C8636C">
        <w:rPr>
          <w:vertAlign w:val="superscript"/>
        </w:rPr>
        <w:footnoteReference w:id="3"/>
      </w:r>
      <w:r w:rsidR="0048526F" w:rsidRPr="00C8636C">
        <w:t xml:space="preserve"> devront </w:t>
      </w:r>
      <w:r w:rsidR="00FD449F" w:rsidRPr="00C8636C">
        <w:t>être identifiés</w:t>
      </w:r>
      <w:r w:rsidR="0048526F" w:rsidRPr="00C8636C">
        <w:t xml:space="preserve"> au moy</w:t>
      </w:r>
      <w:r w:rsidR="00940879" w:rsidRPr="00C8636C">
        <w:t>en de listes communautaires, de</w:t>
      </w:r>
      <w:r w:rsidR="0048526F" w:rsidRPr="00C8636C">
        <w:t xml:space="preserve"> cartes d</w:t>
      </w:r>
      <w:r w:rsidR="008E799E" w:rsidRPr="00C8636C">
        <w:t>’</w:t>
      </w:r>
      <w:r w:rsidR="0048526F" w:rsidRPr="00C8636C">
        <w:t>identité et d</w:t>
      </w:r>
      <w:r w:rsidR="008E799E" w:rsidRPr="00C8636C">
        <w:t>’</w:t>
      </w:r>
      <w:r w:rsidR="0048526F" w:rsidRPr="00C8636C">
        <w:t xml:space="preserve">autres </w:t>
      </w:r>
      <w:r w:rsidR="00940879" w:rsidRPr="00C8636C">
        <w:t>moyens</w:t>
      </w:r>
      <w:r w:rsidR="0048526F" w:rsidRPr="00C8636C">
        <w:t xml:space="preserve"> </w:t>
      </w:r>
      <w:r w:rsidR="00940879" w:rsidRPr="00C8636C">
        <w:t xml:space="preserve">technologiques, afin de garantir </w:t>
      </w:r>
      <w:r w:rsidR="0048526F" w:rsidRPr="00C8636C">
        <w:t xml:space="preserve">que la personne se présentant pour recevoir le transfert </w:t>
      </w:r>
      <w:r w:rsidR="00D1130E" w:rsidRPr="00C8636C">
        <w:t>monétaire</w:t>
      </w:r>
      <w:r w:rsidR="0048526F" w:rsidRPr="00C8636C">
        <w:t xml:space="preserve"> est </w:t>
      </w:r>
      <w:r w:rsidR="00940879" w:rsidRPr="00C8636C">
        <w:t>bien</w:t>
      </w:r>
      <w:r w:rsidR="0048526F" w:rsidRPr="00C8636C">
        <w:t xml:space="preserve"> un bénéficiaire enregistré et/ou son représentant. </w:t>
      </w:r>
    </w:p>
    <w:p w14:paraId="6AFC497B" w14:textId="0D4FC634" w:rsidR="005B24AE" w:rsidRPr="00C8636C" w:rsidRDefault="0048526F" w:rsidP="00F80FE8">
      <w:r w:rsidRPr="00C8636C">
        <w:rPr>
          <w:b/>
        </w:rPr>
        <w:t xml:space="preserve">Effectuer les distributions et procéder aux </w:t>
      </w:r>
      <w:r w:rsidR="00FD449F" w:rsidRPr="00C8636C">
        <w:rPr>
          <w:b/>
        </w:rPr>
        <w:t>versement</w:t>
      </w:r>
      <w:r w:rsidRPr="00C8636C">
        <w:rPr>
          <w:b/>
        </w:rPr>
        <w:t>s</w:t>
      </w:r>
      <w:r w:rsidRPr="00C8636C">
        <w:t xml:space="preserve">. </w:t>
      </w:r>
      <w:r w:rsidR="00FD449F" w:rsidRPr="00C8636C">
        <w:t>Il est important de bien f</w:t>
      </w:r>
      <w:r w:rsidRPr="00C8636C">
        <w:t>ormer le personnel et</w:t>
      </w:r>
      <w:r w:rsidR="00FD449F" w:rsidRPr="00C8636C">
        <w:t xml:space="preserve"> </w:t>
      </w:r>
      <w:r w:rsidR="00940879" w:rsidRPr="00C8636C">
        <w:t>de lui communiquer toutes les informations utiles</w:t>
      </w:r>
      <w:r w:rsidRPr="00C8636C">
        <w:t xml:space="preserve">, soit </w:t>
      </w:r>
      <w:r w:rsidR="00940879" w:rsidRPr="00C8636C">
        <w:t>par le biais d’un mécanisme interne</w:t>
      </w:r>
      <w:r w:rsidRPr="00C8636C">
        <w:t>, soit par l</w:t>
      </w:r>
      <w:r w:rsidR="008E799E" w:rsidRPr="00C8636C">
        <w:t>’</w:t>
      </w:r>
      <w:r w:rsidRPr="00C8636C">
        <w:t>intermédiaire d</w:t>
      </w:r>
      <w:r w:rsidR="008E799E" w:rsidRPr="00C8636C">
        <w:t>’</w:t>
      </w:r>
      <w:r w:rsidR="00940879" w:rsidRPr="00C8636C">
        <w:t>un tiers participant au programme</w:t>
      </w:r>
      <w:r w:rsidRPr="00C8636C">
        <w:t>. Les distributions doivent être planifiées à l</w:t>
      </w:r>
      <w:r w:rsidR="008E799E" w:rsidRPr="00C8636C">
        <w:t>’</w:t>
      </w:r>
      <w:r w:rsidRPr="00C8636C">
        <w:t xml:space="preserve">avance. Les </w:t>
      </w:r>
      <w:r w:rsidR="00940879" w:rsidRPr="00C8636C">
        <w:t>articles</w:t>
      </w:r>
      <w:r w:rsidRPr="00C8636C">
        <w:t xml:space="preserve"> à distribuer (</w:t>
      </w:r>
      <w:r w:rsidR="00940879" w:rsidRPr="00C8636C">
        <w:t>bons</w:t>
      </w:r>
      <w:r w:rsidRPr="00C8636C">
        <w:t xml:space="preserve">, cartes, téléphones, etc.) </w:t>
      </w:r>
      <w:r w:rsidR="00940879" w:rsidRPr="00C8636C">
        <w:t>varieront</w:t>
      </w:r>
      <w:r w:rsidRPr="00C8636C">
        <w:t xml:space="preserve"> selon le mécanisme de </w:t>
      </w:r>
      <w:r w:rsidR="00940879" w:rsidRPr="00C8636C">
        <w:t>distribution</w:t>
      </w:r>
      <w:r w:rsidRPr="00C8636C">
        <w:t xml:space="preserve"> choisi. </w:t>
      </w:r>
      <w:r w:rsidR="00940879" w:rsidRPr="00C8636C">
        <w:t>Une étape de l</w:t>
      </w:r>
      <w:r w:rsidRPr="00C8636C">
        <w:t xml:space="preserve">a planification des </w:t>
      </w:r>
      <w:r w:rsidR="00940879" w:rsidRPr="00C8636C">
        <w:t>versements</w:t>
      </w:r>
      <w:r w:rsidRPr="00C8636C">
        <w:t xml:space="preserve"> </w:t>
      </w:r>
      <w:r w:rsidR="00940879" w:rsidRPr="00C8636C">
        <w:t>consiste à mobiliser les prestataires de services</w:t>
      </w:r>
      <w:r w:rsidRPr="00C8636C">
        <w:t xml:space="preserve"> en fonction de leur emplacement et de leur</w:t>
      </w:r>
      <w:r w:rsidR="00940879" w:rsidRPr="00C8636C">
        <w:t>s</w:t>
      </w:r>
      <w:r w:rsidRPr="00C8636C">
        <w:t xml:space="preserve"> capacité</w:t>
      </w:r>
      <w:r w:rsidR="00940879" w:rsidRPr="00C8636C">
        <w:t>s</w:t>
      </w:r>
      <w:r w:rsidRPr="00C8636C">
        <w:t xml:space="preserve">. Les procédures </w:t>
      </w:r>
      <w:r w:rsidR="00940879" w:rsidRPr="00C8636C">
        <w:t>relatives aux versements</w:t>
      </w:r>
      <w:r w:rsidRPr="00C8636C">
        <w:t xml:space="preserve"> devraient être fondées sur les procédures opérationnelles normalisées de l</w:t>
      </w:r>
      <w:r w:rsidR="008E799E" w:rsidRPr="00C8636C">
        <w:t>’</w:t>
      </w:r>
      <w:r w:rsidR="00940879" w:rsidRPr="00C8636C">
        <w:t>organisation</w:t>
      </w:r>
      <w:r w:rsidRPr="00C8636C">
        <w:t xml:space="preserve">. La documentation requise comprend un ordre de transfert de fonds initial et des rapports </w:t>
      </w:r>
      <w:r w:rsidR="00940879" w:rsidRPr="00C8636C">
        <w:t>de versements</w:t>
      </w:r>
      <w:r w:rsidRPr="00C8636C">
        <w:t xml:space="preserve">. </w:t>
      </w:r>
      <w:r w:rsidR="00F80FE8" w:rsidRPr="00C8636C">
        <w:t xml:space="preserve">Il est impératif de mettre en place un mécanisme de </w:t>
      </w:r>
      <w:r w:rsidRPr="00C8636C">
        <w:lastRenderedPageBreak/>
        <w:t>clôture de</w:t>
      </w:r>
      <w:r w:rsidR="00F80FE8" w:rsidRPr="00C8636C">
        <w:t>s versements ou de contrôle des</w:t>
      </w:r>
      <w:r w:rsidRPr="00C8636C">
        <w:t xml:space="preserve"> fonds</w:t>
      </w:r>
      <w:r w:rsidR="00F80FE8" w:rsidRPr="00C8636C">
        <w:t>, dont la gestion sera assurée conjointement p</w:t>
      </w:r>
      <w:r w:rsidR="007B34C7" w:rsidRPr="00C8636C">
        <w:t>ar</w:t>
      </w:r>
      <w:r w:rsidRPr="00C8636C">
        <w:t xml:space="preserve"> </w:t>
      </w:r>
      <w:r w:rsidR="00F80FE8" w:rsidRPr="00C8636C">
        <w:t>l’équipe</w:t>
      </w:r>
      <w:r w:rsidR="007E273E" w:rsidRPr="00C8636C">
        <w:t xml:space="preserve"> du programme</w:t>
      </w:r>
      <w:r w:rsidR="00F80FE8" w:rsidRPr="00C8636C">
        <w:t xml:space="preserve"> et les départements</w:t>
      </w:r>
      <w:r w:rsidR="007E273E" w:rsidRPr="00C8636C">
        <w:t xml:space="preserve"> d</w:t>
      </w:r>
      <w:r w:rsidRPr="00C8636C">
        <w:t xml:space="preserve">es finances et </w:t>
      </w:r>
      <w:r w:rsidR="007E273E" w:rsidRPr="00C8636C">
        <w:t>de la logistique</w:t>
      </w:r>
      <w:r w:rsidRPr="00C8636C">
        <w:t>.</w:t>
      </w:r>
    </w:p>
    <w:tbl>
      <w:tblPr>
        <w:tblStyle w:val="TableGray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B24AE" w:rsidRPr="005F1CEC" w14:paraId="421CD177" w14:textId="77777777" w:rsidTr="005B24AE">
        <w:tc>
          <w:tcPr>
            <w:tcW w:w="9848" w:type="dxa"/>
          </w:tcPr>
          <w:p w14:paraId="320328BD" w14:textId="77777777" w:rsidR="005B24AE" w:rsidRPr="00C8636C" w:rsidRDefault="005B24AE" w:rsidP="00F80FE8">
            <w:pPr>
              <w:pStyle w:val="RefTitre"/>
            </w:pPr>
            <w:r w:rsidRPr="00C8636C">
              <w:t>DOCUMENTS DE RÉFÉRENCE</w:t>
            </w:r>
          </w:p>
          <w:p w14:paraId="3E3EAE0E" w14:textId="4B182F8B" w:rsidR="005B24AE" w:rsidRPr="00C8636C" w:rsidRDefault="005B24AE" w:rsidP="007F2C72">
            <w:pPr>
              <w:pStyle w:val="RefItem1"/>
            </w:pPr>
            <w:r w:rsidRPr="00C8636C">
              <w:t>Mouvement international de la Croix-Rouge et du Croissant-Roug</w:t>
            </w:r>
            <w:r w:rsidR="00121CD5" w:rsidRPr="00C8636C">
              <w:t xml:space="preserve">e, </w:t>
            </w:r>
            <w:r w:rsidR="00121CD5" w:rsidRPr="00C8636C">
              <w:rPr>
                <w:iCs/>
              </w:rPr>
              <w:t>Lignes directrices sur les programmes de transferts monétaires</w:t>
            </w:r>
            <w:r w:rsidR="007F2C72" w:rsidRPr="00C8636C">
              <w:rPr>
                <w:iCs/>
              </w:rPr>
              <w:t xml:space="preserve"> (2007) :</w:t>
            </w:r>
            <w:r w:rsidR="00121CD5" w:rsidRPr="00C8636C">
              <w:br/>
            </w:r>
            <w:hyperlink r:id="rId8">
              <w:r w:rsidR="007F2C72" w:rsidRPr="00C8636C">
                <w:rPr>
                  <w:rStyle w:val="Hyperlink"/>
                </w:rPr>
                <w:t>http://preparecenter.org/sites/default/files/rc_guidelines_for_ctp_-_fr_0.pdf</w:t>
              </w:r>
            </w:hyperlink>
          </w:p>
          <w:p w14:paraId="05A82F4C" w14:textId="61692AA5" w:rsidR="005B24AE" w:rsidRPr="00C8636C" w:rsidRDefault="00C8636C" w:rsidP="00A65E1D">
            <w:pPr>
              <w:pStyle w:val="RefItem1"/>
            </w:pPr>
            <w:r>
              <w:t xml:space="preserve">Action </w:t>
            </w:r>
            <w:r w:rsidR="00A65E1D">
              <w:t>c</w:t>
            </w:r>
            <w:r>
              <w:t xml:space="preserve">ontre la </w:t>
            </w:r>
            <w:r w:rsidR="00A65E1D">
              <w:t>f</w:t>
            </w:r>
            <w:bookmarkStart w:id="0" w:name="_GoBack"/>
            <w:bookmarkEnd w:id="0"/>
            <w:r>
              <w:t>aim,</w:t>
            </w:r>
            <w:r w:rsidR="007F2C72" w:rsidRPr="00C8636C">
              <w:rPr>
                <w:i/>
                <w:iCs/>
                <w:color w:val="auto"/>
                <w:szCs w:val="20"/>
                <w:lang w:eastAsia="en-US" w:bidi="ar-SA"/>
              </w:rPr>
              <w:t xml:space="preserve"> </w:t>
            </w:r>
            <w:proofErr w:type="spellStart"/>
            <w:r w:rsidR="007F2C72" w:rsidRPr="00C8636C">
              <w:rPr>
                <w:i/>
                <w:iCs/>
              </w:rPr>
              <w:t>Implementing</w:t>
            </w:r>
            <w:proofErr w:type="spellEnd"/>
            <w:r w:rsidR="007F2C72" w:rsidRPr="00C8636C">
              <w:rPr>
                <w:i/>
                <w:iCs/>
              </w:rPr>
              <w:t xml:space="preserve"> cash-</w:t>
            </w:r>
            <w:proofErr w:type="spellStart"/>
            <w:r w:rsidR="007F2C72" w:rsidRPr="00C8636C">
              <w:rPr>
                <w:i/>
                <w:iCs/>
              </w:rPr>
              <w:t>based</w:t>
            </w:r>
            <w:proofErr w:type="spellEnd"/>
            <w:r w:rsidR="007F2C72" w:rsidRPr="00C8636C">
              <w:rPr>
                <w:i/>
                <w:iCs/>
              </w:rPr>
              <w:t xml:space="preserve"> interventions</w:t>
            </w:r>
            <w:r w:rsidR="007F2C72" w:rsidRPr="00C8636C">
              <w:rPr>
                <w:i/>
              </w:rPr>
              <w:t xml:space="preserve"> </w:t>
            </w:r>
            <w:r w:rsidR="002940E5" w:rsidRPr="00C8636C">
              <w:t>(2007)</w:t>
            </w:r>
            <w:r w:rsidR="007F2C72" w:rsidRPr="00C8636C">
              <w:t xml:space="preserve"> (en anglais) :</w:t>
            </w:r>
            <w:r w:rsidR="00121CD5" w:rsidRPr="00C8636C">
              <w:br/>
            </w:r>
            <w:hyperlink r:id="rId9">
              <w:r w:rsidR="005B24AE" w:rsidRPr="00C8636C">
                <w:rPr>
                  <w:rStyle w:val="Hyperlink"/>
                </w:rPr>
                <w:t>http://www.actionagainsthunger.org.uk/resource-centre/online-library/detail/media/implementing-cash-based-interventions-a-guideline-for-aid-workers/</w:t>
              </w:r>
            </w:hyperlink>
          </w:p>
          <w:p w14:paraId="202B32C7" w14:textId="56962F74" w:rsidR="005B24AE" w:rsidRPr="006122A7" w:rsidRDefault="00121CD5" w:rsidP="007F2C72">
            <w:pPr>
              <w:pStyle w:val="RefItem1"/>
              <w:rPr>
                <w:lang w:val="en-GB"/>
              </w:rPr>
            </w:pPr>
            <w:r w:rsidRPr="006122A7">
              <w:rPr>
                <w:lang w:val="en-GB"/>
              </w:rPr>
              <w:t xml:space="preserve">Horn Relief, </w:t>
            </w:r>
            <w:r w:rsidR="007F2C72" w:rsidRPr="006122A7">
              <w:rPr>
                <w:i/>
                <w:lang w:val="en-GB"/>
              </w:rPr>
              <w:t>Guidelines for cash interventions in Somalia</w:t>
            </w:r>
            <w:r w:rsidR="005B24AE" w:rsidRPr="006122A7">
              <w:rPr>
                <w:lang w:val="en-GB"/>
              </w:rPr>
              <w:t xml:space="preserve"> (2010)</w:t>
            </w:r>
            <w:r w:rsidR="007F2C72" w:rsidRPr="006122A7">
              <w:rPr>
                <w:lang w:val="en-GB"/>
              </w:rPr>
              <w:t xml:space="preserve"> (</w:t>
            </w:r>
            <w:proofErr w:type="spellStart"/>
            <w:r w:rsidR="007F2C72" w:rsidRPr="006122A7">
              <w:rPr>
                <w:lang w:val="en-GB"/>
              </w:rPr>
              <w:t>en</w:t>
            </w:r>
            <w:proofErr w:type="spellEnd"/>
            <w:r w:rsidR="007F2C72" w:rsidRPr="006122A7">
              <w:rPr>
                <w:lang w:val="en-GB"/>
              </w:rPr>
              <w:t xml:space="preserve"> </w:t>
            </w:r>
            <w:proofErr w:type="spellStart"/>
            <w:r w:rsidR="007F2C72" w:rsidRPr="006122A7">
              <w:rPr>
                <w:lang w:val="en-GB"/>
              </w:rPr>
              <w:t>anglais</w:t>
            </w:r>
            <w:proofErr w:type="spellEnd"/>
            <w:r w:rsidR="007F2C72" w:rsidRPr="006122A7">
              <w:rPr>
                <w:lang w:val="en-GB"/>
              </w:rPr>
              <w:t>) :</w:t>
            </w:r>
            <w:r w:rsidRPr="006122A7">
              <w:rPr>
                <w:lang w:val="en-GB"/>
              </w:rPr>
              <w:br/>
            </w:r>
            <w:hyperlink r:id="rId10">
              <w:r w:rsidR="005B24AE" w:rsidRPr="006122A7">
                <w:rPr>
                  <w:rStyle w:val="Hyperlink"/>
                  <w:lang w:val="en-GB"/>
                </w:rPr>
                <w:t>http://www.adesoafrica.org/wp-content/uploads/2012/01/horn-relief-guidelines-for-cash-interventions-in-somalia-september-2010.pdf</w:t>
              </w:r>
            </w:hyperlink>
          </w:p>
          <w:p w14:paraId="3447D0AA" w14:textId="2096D7C9" w:rsidR="005B24AE" w:rsidRPr="006122A7" w:rsidRDefault="007F2C72" w:rsidP="007F2C72">
            <w:pPr>
              <w:pStyle w:val="RefItem1"/>
              <w:rPr>
                <w:lang w:val="en-GB"/>
              </w:rPr>
            </w:pPr>
            <w:r w:rsidRPr="006122A7">
              <w:rPr>
                <w:lang w:val="en-GB"/>
              </w:rPr>
              <w:t>Humanitarian Practice Network,</w:t>
            </w:r>
            <w:r w:rsidRPr="006122A7">
              <w:rPr>
                <w:i/>
                <w:iCs/>
                <w:color w:val="auto"/>
                <w:szCs w:val="20"/>
                <w:lang w:val="en-GB" w:eastAsia="en-US" w:bidi="ar-SA"/>
              </w:rPr>
              <w:t xml:space="preserve"> </w:t>
            </w:r>
            <w:r w:rsidRPr="006122A7">
              <w:rPr>
                <w:i/>
                <w:iCs/>
                <w:lang w:val="en-GB"/>
              </w:rPr>
              <w:t>Good Practice Review: Cash transfer programming in emergencies</w:t>
            </w:r>
            <w:r w:rsidRPr="006122A7">
              <w:rPr>
                <w:i/>
                <w:lang w:val="en-GB"/>
              </w:rPr>
              <w:t xml:space="preserve"> </w:t>
            </w:r>
            <w:r w:rsidR="005B24AE" w:rsidRPr="006122A7">
              <w:rPr>
                <w:lang w:val="en-GB"/>
              </w:rPr>
              <w:t>(2011)</w:t>
            </w:r>
            <w:r w:rsidRPr="006122A7">
              <w:rPr>
                <w:lang w:val="en-GB"/>
              </w:rPr>
              <w:t xml:space="preserve"> (</w:t>
            </w:r>
            <w:proofErr w:type="spellStart"/>
            <w:r w:rsidRPr="006122A7">
              <w:rPr>
                <w:lang w:val="en-GB"/>
              </w:rPr>
              <w:t>en</w:t>
            </w:r>
            <w:proofErr w:type="spellEnd"/>
            <w:r w:rsidRPr="006122A7">
              <w:rPr>
                <w:lang w:val="en-GB"/>
              </w:rPr>
              <w:t xml:space="preserve"> </w:t>
            </w:r>
            <w:proofErr w:type="spellStart"/>
            <w:r w:rsidRPr="006122A7">
              <w:rPr>
                <w:lang w:val="en-GB"/>
              </w:rPr>
              <w:t>anglais</w:t>
            </w:r>
            <w:proofErr w:type="spellEnd"/>
            <w:r w:rsidRPr="006122A7">
              <w:rPr>
                <w:lang w:val="en-GB"/>
              </w:rPr>
              <w:t>) :</w:t>
            </w:r>
            <w:r w:rsidR="00121CD5" w:rsidRPr="006122A7">
              <w:rPr>
                <w:lang w:val="en-GB"/>
              </w:rPr>
              <w:br/>
            </w:r>
            <w:hyperlink r:id="rId11">
              <w:r w:rsidR="005B24AE" w:rsidRPr="006122A7">
                <w:rPr>
                  <w:rStyle w:val="Hyperlink"/>
                  <w:lang w:val="en-GB"/>
                </w:rPr>
                <w:t>http://www.odihpn.org/documents%2Fgpr11.pdf</w:t>
              </w:r>
            </w:hyperlink>
          </w:p>
        </w:tc>
      </w:tr>
    </w:tbl>
    <w:p w14:paraId="6B9BEABE" w14:textId="77777777" w:rsidR="005B24AE" w:rsidRPr="006122A7" w:rsidRDefault="005B24AE" w:rsidP="00F80FE8">
      <w:pPr>
        <w:rPr>
          <w:lang w:val="en-GB"/>
        </w:rPr>
      </w:pPr>
    </w:p>
    <w:p w14:paraId="57896CFD" w14:textId="77777777" w:rsidR="005B24AE" w:rsidRPr="006122A7" w:rsidRDefault="005B24AE" w:rsidP="00F80FE8">
      <w:pPr>
        <w:rPr>
          <w:lang w:val="en-GB"/>
        </w:rPr>
      </w:pPr>
    </w:p>
    <w:sectPr w:rsidR="005B24AE" w:rsidRPr="006122A7" w:rsidSect="001A66A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E61BC" w14:textId="77777777" w:rsidR="00E73DA5" w:rsidRDefault="00E73DA5" w:rsidP="00752615">
      <w:pPr>
        <w:spacing w:after="0"/>
      </w:pPr>
      <w:r>
        <w:separator/>
      </w:r>
    </w:p>
  </w:endnote>
  <w:endnote w:type="continuationSeparator" w:id="0">
    <w:p w14:paraId="036F8134" w14:textId="77777777" w:rsidR="00E73DA5" w:rsidRDefault="00E73DA5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79F2" w14:textId="77777777" w:rsidR="008843FD" w:rsidRDefault="008843FD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DF8E7" w14:textId="77777777" w:rsidR="008843FD" w:rsidRDefault="008843FD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4527" w14:textId="77777777" w:rsidR="001A66AE" w:rsidRPr="00B45C74" w:rsidRDefault="001A66A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5E1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5D54B6B" w14:textId="0BBC2098" w:rsidR="008843FD" w:rsidRDefault="001A66AE" w:rsidP="001A66AE">
    <w:pPr>
      <w:pStyle w:val="Footer"/>
    </w:pPr>
    <w:r>
      <w:rPr>
        <w:b/>
      </w:rPr>
      <w:t>Module 4.</w:t>
    </w:r>
    <w:r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A65E1D" w:rsidRPr="00A65E1D">
      <w:rPr>
        <w:bCs/>
        <w:noProof/>
      </w:rPr>
      <w:t>Feuille de route pour la</w:t>
    </w:r>
    <w:r w:rsidR="00A65E1D">
      <w:rPr>
        <w:i/>
        <w:noProof/>
      </w:rPr>
      <w:t xml:space="preserve"> mise en place et la mise en œuvre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DAEE" w14:textId="77777777" w:rsidR="001A66AE" w:rsidRPr="00B45C74" w:rsidRDefault="001A66A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F1CE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1E980A" w14:textId="35FCADA2" w:rsidR="001A66AE" w:rsidRDefault="001A66AE">
    <w:pPr>
      <w:pStyle w:val="Footer"/>
    </w:pPr>
    <w:r>
      <w:rPr>
        <w:b/>
      </w:rPr>
      <w:t>Module 4.</w:t>
    </w:r>
    <w:r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F1CEC" w:rsidRPr="005F1CEC">
      <w:rPr>
        <w:bCs/>
        <w:noProof/>
      </w:rPr>
      <w:t>Feuille de route pour la</w:t>
    </w:r>
    <w:r w:rsidR="005F1CEC">
      <w:rPr>
        <w:i/>
        <w:noProof/>
      </w:rPr>
      <w:t xml:space="preserve"> </w:t>
    </w:r>
    <w:r w:rsidR="005F1CEC" w:rsidRPr="005F1CEC">
      <w:rPr>
        <w:noProof/>
      </w:rPr>
      <w:t>mise en place et la mise en œuvre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CB2D" w14:textId="77777777" w:rsidR="00E73DA5" w:rsidRDefault="00E73DA5" w:rsidP="00752615">
      <w:pPr>
        <w:spacing w:after="0"/>
      </w:pPr>
      <w:r>
        <w:separator/>
      </w:r>
    </w:p>
  </w:footnote>
  <w:footnote w:type="continuationSeparator" w:id="0">
    <w:p w14:paraId="580B111E" w14:textId="77777777" w:rsidR="00E73DA5" w:rsidRDefault="00E73DA5" w:rsidP="00752615">
      <w:pPr>
        <w:spacing w:after="0"/>
      </w:pPr>
      <w:r>
        <w:continuationSeparator/>
      </w:r>
    </w:p>
  </w:footnote>
  <w:footnote w:id="1">
    <w:p w14:paraId="0E831AE0" w14:textId="66AD7B61" w:rsidR="008843FD" w:rsidRPr="001A66AE" w:rsidRDefault="008843FD" w:rsidP="002F741F">
      <w:pPr>
        <w:pStyle w:val="FootnoteText"/>
        <w:rPr>
          <w:rFonts w:cs="Arial"/>
          <w:szCs w:val="16"/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="000D4196">
        <w:t>Les finance</w:t>
      </w:r>
      <w:r w:rsidR="005B33A3">
        <w:t>s</w:t>
      </w:r>
      <w:r w:rsidR="000D4196">
        <w:t>, l</w:t>
      </w:r>
      <w:r w:rsidR="008E799E">
        <w:t>’</w:t>
      </w:r>
      <w:r>
        <w:t xml:space="preserve">administration et </w:t>
      </w:r>
      <w:r w:rsidR="000D4196">
        <w:t xml:space="preserve">la </w:t>
      </w:r>
      <w:r>
        <w:t>logistique pour les procédures</w:t>
      </w:r>
      <w:r w:rsidR="000D4196">
        <w:t>,</w:t>
      </w:r>
      <w:r>
        <w:t xml:space="preserve"> et la </w:t>
      </w:r>
      <w:r w:rsidR="002F741F">
        <w:t>direction</w:t>
      </w:r>
      <w:r>
        <w:t xml:space="preserve"> principalement pour les aspects </w:t>
      </w:r>
      <w:r w:rsidR="002F741F">
        <w:t>liés à la</w:t>
      </w:r>
      <w:r>
        <w:t xml:space="preserve"> sécurité.</w:t>
      </w:r>
    </w:p>
  </w:footnote>
  <w:footnote w:id="2">
    <w:p w14:paraId="250AA8B6" w14:textId="5C94FD2B" w:rsidR="008843FD" w:rsidRPr="001A66AE" w:rsidRDefault="008843FD" w:rsidP="00C540B1">
      <w:pPr>
        <w:pStyle w:val="FootnoteText"/>
        <w:rPr>
          <w:szCs w:val="16"/>
        </w:rPr>
      </w:pPr>
      <w:r>
        <w:rPr>
          <w:rStyle w:val="FootnoteReference"/>
        </w:rPr>
        <w:footnoteRef/>
      </w:r>
      <w:r>
        <w:t xml:space="preserve"> Communication avec les bénéficiaires et re</w:t>
      </w:r>
      <w:r w:rsidR="00C540B1">
        <w:t>devabilité</w:t>
      </w:r>
      <w:r w:rsidR="007B34C7">
        <w:t>.</w:t>
      </w:r>
    </w:p>
  </w:footnote>
  <w:footnote w:id="3">
    <w:p w14:paraId="7C6D9469" w14:textId="00F20D4D" w:rsidR="008843FD" w:rsidRPr="001A66AE" w:rsidRDefault="008843FD" w:rsidP="00FD449F">
      <w:pPr>
        <w:pStyle w:val="FootnoteText"/>
        <w:rPr>
          <w:szCs w:val="16"/>
          <w:lang w:val="it-IT"/>
        </w:rPr>
      </w:pPr>
      <w:r>
        <w:rPr>
          <w:rStyle w:val="FootnoteReference"/>
        </w:rPr>
        <w:footnoteRef/>
      </w:r>
      <w:r>
        <w:t xml:space="preserve"> Vous pouvez choisir d</w:t>
      </w:r>
      <w:r w:rsidR="008E799E">
        <w:t>’</w:t>
      </w:r>
      <w:r>
        <w:t>enregistrer un ou plusieurs représentan</w:t>
      </w:r>
      <w:r w:rsidR="00FD449F">
        <w:t>ts de bénéficiaires (par ex.</w:t>
      </w:r>
      <w:r>
        <w:t xml:space="preserve"> </w:t>
      </w:r>
      <w:r w:rsidR="00FD449F">
        <w:t>d</w:t>
      </w:r>
      <w:r>
        <w:t xml:space="preserve">es membres de la famille) </w:t>
      </w:r>
      <w:r w:rsidR="00FD449F">
        <w:t>qui pourront</w:t>
      </w:r>
      <w:r>
        <w:t xml:space="preserve"> </w:t>
      </w:r>
      <w:r w:rsidR="00FD449F">
        <w:t>se présenter aux</w:t>
      </w:r>
      <w:r w:rsidR="007B34C7">
        <w:t xml:space="preserve"> distribution</w:t>
      </w:r>
      <w:r w:rsidR="00FD449F">
        <w:t>s/</w:t>
      </w:r>
      <w:r w:rsidR="007B34C7">
        <w:t>versement</w:t>
      </w:r>
      <w:r w:rsidR="00FD449F">
        <w:t>s si les bénéficiaires ne peuvent pas s’y rendre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69E1" w14:textId="74FC4D2C" w:rsidR="001A66AE" w:rsidRPr="00074036" w:rsidRDefault="006C0720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B661" w14:textId="77777777" w:rsidR="00BC068C" w:rsidRDefault="00BC068C" w:rsidP="00BC068C">
    <w:pPr>
      <w:pStyle w:val="Header1"/>
    </w:pPr>
    <w:r>
      <w:rPr>
        <w:rFonts w:ascii="Arial Bold" w:hAnsi="Arial Bold"/>
        <w:noProof/>
        <w:color w:val="DC281E"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4286DE90" wp14:editId="4B1522B0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764E7" w14:textId="77777777" w:rsidR="00BC068C" w:rsidRDefault="00BC068C" w:rsidP="00BC068C">
    <w:pPr>
      <w:pStyle w:val="Header1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4E094C1" wp14:editId="36B76949">
          <wp:simplePos x="0" y="0"/>
          <wp:positionH relativeFrom="margin">
            <wp:posOffset>2590165</wp:posOffset>
          </wp:positionH>
          <wp:positionV relativeFrom="margin">
            <wp:posOffset>-915670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18F71" w14:textId="77777777" w:rsidR="001A66AE" w:rsidRDefault="001A66AE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354EDFB3" w14:textId="77777777" w:rsidR="00BC068C" w:rsidRDefault="00BC068C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45E8BA2B" w14:textId="77777777" w:rsidR="001A66AE" w:rsidRDefault="001A66AE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0C3ACE7A" w14:textId="52AF6E0C" w:rsidR="001A66AE" w:rsidRPr="001A66AE" w:rsidRDefault="00BC068C" w:rsidP="00BC068C">
    <w:pPr>
      <w:pStyle w:val="Header1"/>
      <w:rPr>
        <w:rFonts w:ascii="Arial Bold" w:hAnsi="Arial Bold"/>
        <w:color w:val="DC281E"/>
      </w:rPr>
    </w:pPr>
    <w:r w:rsidRPr="00BC068C">
      <w:rPr>
        <w:rFonts w:ascii="Arial Bold" w:hAnsi="Arial Bold"/>
        <w:color w:val="DC281E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072F"/>
    <w:multiLevelType w:val="hybridMultilevel"/>
    <w:tmpl w:val="956CB68C"/>
    <w:lvl w:ilvl="0" w:tplc="7CDA50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27860"/>
    <w:multiLevelType w:val="hybridMultilevel"/>
    <w:tmpl w:val="B73C0800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19C015D5"/>
    <w:multiLevelType w:val="hybridMultilevel"/>
    <w:tmpl w:val="6D3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A7A18"/>
    <w:multiLevelType w:val="hybridMultilevel"/>
    <w:tmpl w:val="7C52BF4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60C8C"/>
    <w:multiLevelType w:val="hybridMultilevel"/>
    <w:tmpl w:val="2CC4C4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2"/>
  </w:num>
  <w:num w:numId="8">
    <w:abstractNumId w:val="12"/>
  </w:num>
  <w:num w:numId="9">
    <w:abstractNumId w:val="36"/>
  </w:num>
  <w:num w:numId="10">
    <w:abstractNumId w:val="25"/>
  </w:num>
  <w:num w:numId="11">
    <w:abstractNumId w:val="26"/>
  </w:num>
  <w:num w:numId="12">
    <w:abstractNumId w:val="30"/>
  </w:num>
  <w:num w:numId="13">
    <w:abstractNumId w:val="32"/>
  </w:num>
  <w:num w:numId="14">
    <w:abstractNumId w:val="8"/>
  </w:num>
  <w:num w:numId="15">
    <w:abstractNumId w:val="31"/>
  </w:num>
  <w:num w:numId="16">
    <w:abstractNumId w:val="3"/>
  </w:num>
  <w:num w:numId="17">
    <w:abstractNumId w:val="1"/>
  </w:num>
  <w:num w:numId="18">
    <w:abstractNumId w:val="34"/>
  </w:num>
  <w:num w:numId="19">
    <w:abstractNumId w:val="21"/>
  </w:num>
  <w:num w:numId="20">
    <w:abstractNumId w:val="13"/>
  </w:num>
  <w:num w:numId="21">
    <w:abstractNumId w:val="5"/>
  </w:num>
  <w:num w:numId="22">
    <w:abstractNumId w:val="15"/>
  </w:num>
  <w:num w:numId="23">
    <w:abstractNumId w:val="20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35"/>
  </w:num>
  <w:num w:numId="29">
    <w:abstractNumId w:val="10"/>
  </w:num>
  <w:num w:numId="30">
    <w:abstractNumId w:val="14"/>
  </w:num>
  <w:num w:numId="31">
    <w:abstractNumId w:val="18"/>
  </w:num>
  <w:num w:numId="32">
    <w:abstractNumId w:val="2"/>
  </w:num>
  <w:num w:numId="33">
    <w:abstractNumId w:val="0"/>
  </w:num>
  <w:num w:numId="34">
    <w:abstractNumId w:val="23"/>
  </w:num>
  <w:num w:numId="35">
    <w:abstractNumId w:val="27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0"/>
    <w:rsid w:val="00006608"/>
    <w:rsid w:val="00046C14"/>
    <w:rsid w:val="00063EAE"/>
    <w:rsid w:val="00080CF1"/>
    <w:rsid w:val="000A2C36"/>
    <w:rsid w:val="000B1137"/>
    <w:rsid w:val="000C4E88"/>
    <w:rsid w:val="000D4196"/>
    <w:rsid w:val="000D763F"/>
    <w:rsid w:val="000F0CF2"/>
    <w:rsid w:val="000F104A"/>
    <w:rsid w:val="000F7A5E"/>
    <w:rsid w:val="00121CD5"/>
    <w:rsid w:val="00132856"/>
    <w:rsid w:val="00133890"/>
    <w:rsid w:val="0014280B"/>
    <w:rsid w:val="00164C1C"/>
    <w:rsid w:val="00186613"/>
    <w:rsid w:val="00193980"/>
    <w:rsid w:val="001A66AE"/>
    <w:rsid w:val="001B79C9"/>
    <w:rsid w:val="001C34F7"/>
    <w:rsid w:val="001F6441"/>
    <w:rsid w:val="00213BDA"/>
    <w:rsid w:val="00220EEB"/>
    <w:rsid w:val="00226F84"/>
    <w:rsid w:val="00240F38"/>
    <w:rsid w:val="00251D07"/>
    <w:rsid w:val="00256A0A"/>
    <w:rsid w:val="00270630"/>
    <w:rsid w:val="00271B43"/>
    <w:rsid w:val="00277BA7"/>
    <w:rsid w:val="002940E5"/>
    <w:rsid w:val="002C704F"/>
    <w:rsid w:val="002D3D33"/>
    <w:rsid w:val="002D7BEC"/>
    <w:rsid w:val="002E12C8"/>
    <w:rsid w:val="002F3348"/>
    <w:rsid w:val="002F689F"/>
    <w:rsid w:val="002F741F"/>
    <w:rsid w:val="00325F32"/>
    <w:rsid w:val="00330E0B"/>
    <w:rsid w:val="00333EA9"/>
    <w:rsid w:val="00347951"/>
    <w:rsid w:val="00357105"/>
    <w:rsid w:val="00360067"/>
    <w:rsid w:val="00372775"/>
    <w:rsid w:val="00374633"/>
    <w:rsid w:val="00374C30"/>
    <w:rsid w:val="003B458D"/>
    <w:rsid w:val="003D2C1E"/>
    <w:rsid w:val="003D55BC"/>
    <w:rsid w:val="003F3116"/>
    <w:rsid w:val="0041274E"/>
    <w:rsid w:val="00432042"/>
    <w:rsid w:val="004416F8"/>
    <w:rsid w:val="004445CA"/>
    <w:rsid w:val="0048526F"/>
    <w:rsid w:val="004A0A24"/>
    <w:rsid w:val="004E5BB5"/>
    <w:rsid w:val="004F338C"/>
    <w:rsid w:val="004F3661"/>
    <w:rsid w:val="00514690"/>
    <w:rsid w:val="00527882"/>
    <w:rsid w:val="0055713B"/>
    <w:rsid w:val="00557AB7"/>
    <w:rsid w:val="00574B52"/>
    <w:rsid w:val="00592161"/>
    <w:rsid w:val="005A126D"/>
    <w:rsid w:val="005B24AE"/>
    <w:rsid w:val="005B33A3"/>
    <w:rsid w:val="005B3727"/>
    <w:rsid w:val="005C7B87"/>
    <w:rsid w:val="005E18DE"/>
    <w:rsid w:val="005E4709"/>
    <w:rsid w:val="005F1CEC"/>
    <w:rsid w:val="006122A7"/>
    <w:rsid w:val="0062030E"/>
    <w:rsid w:val="00631146"/>
    <w:rsid w:val="00632313"/>
    <w:rsid w:val="006371A7"/>
    <w:rsid w:val="00651DAB"/>
    <w:rsid w:val="006642BE"/>
    <w:rsid w:val="006710DB"/>
    <w:rsid w:val="0068259E"/>
    <w:rsid w:val="006A34AB"/>
    <w:rsid w:val="006A390D"/>
    <w:rsid w:val="006A53B7"/>
    <w:rsid w:val="006C0720"/>
    <w:rsid w:val="006C133E"/>
    <w:rsid w:val="006C2161"/>
    <w:rsid w:val="006C5DB9"/>
    <w:rsid w:val="006D05D3"/>
    <w:rsid w:val="006D3A93"/>
    <w:rsid w:val="006D4CF0"/>
    <w:rsid w:val="006E3E3A"/>
    <w:rsid w:val="0070173B"/>
    <w:rsid w:val="007202A1"/>
    <w:rsid w:val="007353CA"/>
    <w:rsid w:val="00752615"/>
    <w:rsid w:val="00756188"/>
    <w:rsid w:val="00764C94"/>
    <w:rsid w:val="00771093"/>
    <w:rsid w:val="0079752F"/>
    <w:rsid w:val="007B34C7"/>
    <w:rsid w:val="007B4CA2"/>
    <w:rsid w:val="007B7D41"/>
    <w:rsid w:val="007C25AD"/>
    <w:rsid w:val="007C32C8"/>
    <w:rsid w:val="007D1A58"/>
    <w:rsid w:val="007D3CF6"/>
    <w:rsid w:val="007E273E"/>
    <w:rsid w:val="007E5C7B"/>
    <w:rsid w:val="007F022B"/>
    <w:rsid w:val="007F2C72"/>
    <w:rsid w:val="00810AE9"/>
    <w:rsid w:val="008233E8"/>
    <w:rsid w:val="0084433D"/>
    <w:rsid w:val="00853516"/>
    <w:rsid w:val="0088306F"/>
    <w:rsid w:val="008843FD"/>
    <w:rsid w:val="008E799E"/>
    <w:rsid w:val="008F402F"/>
    <w:rsid w:val="009020D7"/>
    <w:rsid w:val="0090363F"/>
    <w:rsid w:val="00906ED2"/>
    <w:rsid w:val="00914B51"/>
    <w:rsid w:val="00917268"/>
    <w:rsid w:val="00920E38"/>
    <w:rsid w:val="00927A83"/>
    <w:rsid w:val="00940879"/>
    <w:rsid w:val="00941A73"/>
    <w:rsid w:val="00972EAA"/>
    <w:rsid w:val="009837E5"/>
    <w:rsid w:val="00996780"/>
    <w:rsid w:val="009A3070"/>
    <w:rsid w:val="009B38D8"/>
    <w:rsid w:val="009D6AD6"/>
    <w:rsid w:val="00A10032"/>
    <w:rsid w:val="00A16981"/>
    <w:rsid w:val="00A30508"/>
    <w:rsid w:val="00A324E8"/>
    <w:rsid w:val="00A47F49"/>
    <w:rsid w:val="00A5741C"/>
    <w:rsid w:val="00A65E1D"/>
    <w:rsid w:val="00A81E21"/>
    <w:rsid w:val="00A92250"/>
    <w:rsid w:val="00A93BF4"/>
    <w:rsid w:val="00AA069E"/>
    <w:rsid w:val="00AB56A7"/>
    <w:rsid w:val="00AF1AA0"/>
    <w:rsid w:val="00B0620E"/>
    <w:rsid w:val="00B22A17"/>
    <w:rsid w:val="00B43740"/>
    <w:rsid w:val="00B707FE"/>
    <w:rsid w:val="00B8238E"/>
    <w:rsid w:val="00B8662D"/>
    <w:rsid w:val="00BB34F4"/>
    <w:rsid w:val="00BC068C"/>
    <w:rsid w:val="00BC6767"/>
    <w:rsid w:val="00BD0038"/>
    <w:rsid w:val="00BF0392"/>
    <w:rsid w:val="00C00CF4"/>
    <w:rsid w:val="00C22194"/>
    <w:rsid w:val="00C45C63"/>
    <w:rsid w:val="00C46114"/>
    <w:rsid w:val="00C540B1"/>
    <w:rsid w:val="00C637B5"/>
    <w:rsid w:val="00C74F09"/>
    <w:rsid w:val="00C8636C"/>
    <w:rsid w:val="00CA7C53"/>
    <w:rsid w:val="00CC068F"/>
    <w:rsid w:val="00CF258F"/>
    <w:rsid w:val="00D04CC3"/>
    <w:rsid w:val="00D06F92"/>
    <w:rsid w:val="00D1130E"/>
    <w:rsid w:val="00D16AA1"/>
    <w:rsid w:val="00D422E5"/>
    <w:rsid w:val="00D436BF"/>
    <w:rsid w:val="00D45780"/>
    <w:rsid w:val="00D528AB"/>
    <w:rsid w:val="00D62AC5"/>
    <w:rsid w:val="00D712BF"/>
    <w:rsid w:val="00D9189E"/>
    <w:rsid w:val="00D91C67"/>
    <w:rsid w:val="00DB06A1"/>
    <w:rsid w:val="00DC1372"/>
    <w:rsid w:val="00DD1804"/>
    <w:rsid w:val="00DD2E6A"/>
    <w:rsid w:val="00DD662A"/>
    <w:rsid w:val="00DE13F0"/>
    <w:rsid w:val="00DF3B71"/>
    <w:rsid w:val="00E01226"/>
    <w:rsid w:val="00E36278"/>
    <w:rsid w:val="00E57E3F"/>
    <w:rsid w:val="00E73DA5"/>
    <w:rsid w:val="00E77E9D"/>
    <w:rsid w:val="00E82A54"/>
    <w:rsid w:val="00E922F6"/>
    <w:rsid w:val="00EB4702"/>
    <w:rsid w:val="00EC392C"/>
    <w:rsid w:val="00ED4639"/>
    <w:rsid w:val="00EF00C8"/>
    <w:rsid w:val="00F3315F"/>
    <w:rsid w:val="00F47E68"/>
    <w:rsid w:val="00F77F9D"/>
    <w:rsid w:val="00F80A2D"/>
    <w:rsid w:val="00F80FE8"/>
    <w:rsid w:val="00FA16A0"/>
    <w:rsid w:val="00FA3FB6"/>
    <w:rsid w:val="00FD449F"/>
    <w:rsid w:val="00FD6F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1E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47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7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7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70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70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B47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7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7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fr-FR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47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470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47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47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B4702"/>
    <w:rPr>
      <w:b/>
    </w:rPr>
  </w:style>
  <w:style w:type="paragraph" w:styleId="Header">
    <w:name w:val="header"/>
    <w:basedOn w:val="Normal"/>
    <w:link w:val="HeaderChar"/>
    <w:uiPriority w:val="99"/>
    <w:unhideWhenUsed/>
    <w:rsid w:val="00EB47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4702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EB4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7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47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4702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paragraph" w:customStyle="1" w:styleId="Pa8">
    <w:name w:val="Pa8"/>
    <w:basedOn w:val="Normal"/>
    <w:next w:val="Normal"/>
    <w:uiPriority w:val="99"/>
    <w:rsid w:val="00A16981"/>
    <w:pPr>
      <w:widowControl w:val="0"/>
      <w:autoSpaceDE w:val="0"/>
      <w:autoSpaceDN w:val="0"/>
      <w:adjustRightInd w:val="0"/>
      <w:spacing w:after="0" w:line="211" w:lineRule="atLeast"/>
      <w:jc w:val="left"/>
    </w:pPr>
    <w:rPr>
      <w:rFonts w:ascii="Akzidenz Grotesk BE" w:hAnsi="Akzidenz Grotesk B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47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47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2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EB47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47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47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4702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470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EB47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47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47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47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47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4702"/>
    <w:pPr>
      <w:numPr>
        <w:numId w:val="3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B4702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4702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4702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47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470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EB4702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47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7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7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70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70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B47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7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7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fr-FR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47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470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47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47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B4702"/>
    <w:rPr>
      <w:b/>
    </w:rPr>
  </w:style>
  <w:style w:type="paragraph" w:styleId="Header">
    <w:name w:val="header"/>
    <w:basedOn w:val="Normal"/>
    <w:link w:val="HeaderChar"/>
    <w:uiPriority w:val="99"/>
    <w:unhideWhenUsed/>
    <w:rsid w:val="00EB47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4702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EB4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7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47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4702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paragraph" w:customStyle="1" w:styleId="Pa8">
    <w:name w:val="Pa8"/>
    <w:basedOn w:val="Normal"/>
    <w:next w:val="Normal"/>
    <w:uiPriority w:val="99"/>
    <w:rsid w:val="00A16981"/>
    <w:pPr>
      <w:widowControl w:val="0"/>
      <w:autoSpaceDE w:val="0"/>
      <w:autoSpaceDN w:val="0"/>
      <w:adjustRightInd w:val="0"/>
      <w:spacing w:after="0" w:line="211" w:lineRule="atLeast"/>
      <w:jc w:val="left"/>
    </w:pPr>
    <w:rPr>
      <w:rFonts w:ascii="Akzidenz Grotesk BE" w:hAnsi="Akzidenz Grotesk B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47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47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2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EB47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47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47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4702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470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EB47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47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47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47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47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4702"/>
    <w:pPr>
      <w:numPr>
        <w:numId w:val="3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B4702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4702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4702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47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470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EB4702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arecenter.org/sites/default/files/rc_guidelines_for_ctp_-_fr_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ihpn.org/documents/gpr1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ctionagainsthunger.org.uk/resource-centre/online-library/detail/media/implementing-cash-based-interventions-a-guideline-for-aid-work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onagainsthunger.org.uk/resource-centre/online-library/detail/media/implementing-cash-based-interventions-a-guideline-for-aid-worker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438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88</cp:revision>
  <cp:lastPrinted>2016-04-26T15:28:00Z</cp:lastPrinted>
  <dcterms:created xsi:type="dcterms:W3CDTF">2015-04-08T16:44:00Z</dcterms:created>
  <dcterms:modified xsi:type="dcterms:W3CDTF">2016-04-29T12:46:00Z</dcterms:modified>
</cp:coreProperties>
</file>