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83" w:rsidRPr="0025561C" w:rsidRDefault="0025561C" w:rsidP="00615193">
      <w:pPr>
        <w:pStyle w:val="H1"/>
        <w:rPr>
          <w:lang w:val="fr-FR"/>
        </w:rPr>
      </w:pPr>
      <w:r w:rsidRPr="0025561C">
        <w:rPr>
          <w:lang w:val="fr-FR"/>
        </w:rPr>
        <w:t xml:space="preserve">Feuille </w:t>
      </w:r>
      <w:r>
        <w:rPr>
          <w:lang w:val="fr-FR"/>
        </w:rPr>
        <w:t>de route pour l’analyse des risques liés aux PTM</w:t>
      </w:r>
    </w:p>
    <w:p w:rsidR="008112C7" w:rsidRPr="008112C7" w:rsidRDefault="00992E62" w:rsidP="00406C2B">
      <w:pPr>
        <w:rPr>
          <w:lang w:val="fr-FR"/>
        </w:rPr>
      </w:pPr>
      <w:r>
        <w:rPr>
          <w:lang w:val="fr-FR"/>
        </w:rPr>
        <w:t>Cette</w:t>
      </w:r>
      <w:r w:rsidR="008112C7">
        <w:rPr>
          <w:lang w:val="fr-FR"/>
        </w:rPr>
        <w:t xml:space="preserve"> feuille de route vous guidera tout au long du processus d’analyse des risques</w:t>
      </w:r>
      <w:r>
        <w:rPr>
          <w:lang w:val="fr-FR"/>
        </w:rPr>
        <w:t xml:space="preserve"> : </w:t>
      </w:r>
      <w:r w:rsidR="008112C7">
        <w:rPr>
          <w:lang w:val="fr-FR"/>
        </w:rPr>
        <w:t>identification et description des risques liés aux opérations potentielles de transferts monétaires</w:t>
      </w:r>
      <w:r>
        <w:rPr>
          <w:lang w:val="fr-FR"/>
        </w:rPr>
        <w:t xml:space="preserve"> ; </w:t>
      </w:r>
      <w:r w:rsidR="008112C7" w:rsidRPr="008112C7">
        <w:rPr>
          <w:b/>
          <w:lang w:val="fr-FR"/>
        </w:rPr>
        <w:t xml:space="preserve">classement de ces risques en fonction de leur </w:t>
      </w:r>
      <w:r>
        <w:rPr>
          <w:b/>
          <w:lang w:val="fr-FR"/>
        </w:rPr>
        <w:t xml:space="preserve">importance ; et prise de décision sur </w:t>
      </w:r>
      <w:r w:rsidR="00406C2B">
        <w:rPr>
          <w:b/>
          <w:lang w:val="fr-FR"/>
        </w:rPr>
        <w:t>les mesures à prendre</w:t>
      </w:r>
      <w:r w:rsidR="008112C7" w:rsidRPr="008112C7">
        <w:rPr>
          <w:b/>
          <w:lang w:val="fr-FR"/>
        </w:rPr>
        <w:t>.</w:t>
      </w:r>
      <w:r w:rsidR="008112C7">
        <w:rPr>
          <w:b/>
          <w:lang w:val="fr-FR"/>
        </w:rPr>
        <w:t xml:space="preserve"> </w:t>
      </w:r>
      <w:r w:rsidR="008112C7">
        <w:rPr>
          <w:lang w:val="fr-FR"/>
        </w:rPr>
        <w:t xml:space="preserve">En outre, </w:t>
      </w:r>
      <w:r>
        <w:rPr>
          <w:lang w:val="fr-FR"/>
        </w:rPr>
        <w:t>elle</w:t>
      </w:r>
      <w:r w:rsidR="008112C7">
        <w:rPr>
          <w:lang w:val="fr-FR"/>
        </w:rPr>
        <w:t xml:space="preserve"> vous </w:t>
      </w:r>
      <w:r w:rsidR="00BB10DD">
        <w:rPr>
          <w:lang w:val="fr-FR"/>
        </w:rPr>
        <w:t xml:space="preserve">indiquera comment utiliser les ressources </w:t>
      </w:r>
      <w:r>
        <w:rPr>
          <w:lang w:val="fr-FR"/>
        </w:rPr>
        <w:t>contenues</w:t>
      </w:r>
      <w:r w:rsidR="004C6A4A">
        <w:rPr>
          <w:lang w:val="fr-FR"/>
        </w:rPr>
        <w:t xml:space="preserve"> dans</w:t>
      </w:r>
      <w:r w:rsidR="00BB10DD">
        <w:rPr>
          <w:lang w:val="fr-FR"/>
        </w:rPr>
        <w:t xml:space="preserve"> la Boîte à outils. Dans une situation d’urgence, vous ne pourrez pas toujours suivre toutes les étapes subsidiaires dans l’ordre proposé, mais vous devez au moins respecter les normes minimales définies pour le processus.</w:t>
      </w:r>
    </w:p>
    <w:p w:rsidR="001B6583" w:rsidRPr="0025561C" w:rsidRDefault="00BB10DD" w:rsidP="00992E62">
      <w:pPr>
        <w:rPr>
          <w:lang w:val="fr-FR"/>
        </w:rPr>
      </w:pPr>
      <w:r>
        <w:rPr>
          <w:lang w:val="fr-FR"/>
        </w:rPr>
        <w:t>Dans la Boîte à outils, vous trouverez un ensemble d’outils pour chaque étape subsid</w:t>
      </w:r>
      <w:r w:rsidR="00047954">
        <w:rPr>
          <w:lang w:val="fr-FR"/>
        </w:rPr>
        <w:t xml:space="preserve">iaire. Ces outils </w:t>
      </w:r>
      <w:r>
        <w:rPr>
          <w:lang w:val="fr-FR"/>
        </w:rPr>
        <w:t xml:space="preserve">ont volontairement </w:t>
      </w:r>
      <w:r w:rsidR="00047954">
        <w:rPr>
          <w:lang w:val="fr-FR"/>
        </w:rPr>
        <w:t xml:space="preserve">un caractère général </w:t>
      </w:r>
      <w:r>
        <w:rPr>
          <w:lang w:val="fr-FR"/>
        </w:rPr>
        <w:t>et doivent être adaptés à votre contexte et à vos besoins.</w:t>
      </w:r>
      <w:r w:rsidR="004C6A4A">
        <w:rPr>
          <w:lang w:val="fr-FR"/>
        </w:rPr>
        <w:t xml:space="preserve"> Si vous </w:t>
      </w:r>
      <w:r w:rsidR="00047954">
        <w:rPr>
          <w:lang w:val="fr-FR"/>
        </w:rPr>
        <w:t xml:space="preserve">souhaitez </w:t>
      </w:r>
      <w:r w:rsidR="00992E62">
        <w:rPr>
          <w:lang w:val="fr-FR"/>
        </w:rPr>
        <w:t>obtenir des orientations</w:t>
      </w:r>
      <w:r w:rsidR="004C6A4A">
        <w:rPr>
          <w:lang w:val="fr-FR"/>
        </w:rPr>
        <w:t xml:space="preserve"> plus détaillée</w:t>
      </w:r>
      <w:r>
        <w:rPr>
          <w:lang w:val="fr-FR"/>
        </w:rPr>
        <w:t xml:space="preserve">s </w:t>
      </w:r>
      <w:r w:rsidR="004C6A4A">
        <w:rPr>
          <w:lang w:val="fr-FR"/>
        </w:rPr>
        <w:t>pour</w:t>
      </w:r>
      <w:r>
        <w:rPr>
          <w:lang w:val="fr-FR"/>
        </w:rPr>
        <w:t xml:space="preserve"> l’analyse des risques, </w:t>
      </w:r>
      <w:r w:rsidR="004C6A4A">
        <w:rPr>
          <w:lang w:val="fr-FR"/>
        </w:rPr>
        <w:t xml:space="preserve">vous pouvez </w:t>
      </w:r>
      <w:r>
        <w:rPr>
          <w:lang w:val="fr-FR"/>
        </w:rPr>
        <w:t>consulter les documents de</w:t>
      </w:r>
      <w:r w:rsidR="004C6A4A">
        <w:rPr>
          <w:lang w:val="fr-FR"/>
        </w:rPr>
        <w:t xml:space="preserve"> référence </w:t>
      </w:r>
      <w:r w:rsidR="00992E62">
        <w:rPr>
          <w:lang w:val="fr-FR"/>
        </w:rPr>
        <w:t>mentionnés</w:t>
      </w:r>
      <w:r>
        <w:rPr>
          <w:lang w:val="fr-FR"/>
        </w:rPr>
        <w:t xml:space="preserve"> à la fin du document.</w:t>
      </w:r>
    </w:p>
    <w:tbl>
      <w:tblPr>
        <w:tblStyle w:val="TableGray"/>
        <w:tblW w:w="5000" w:type="pct"/>
        <w:tblLayout w:type="fixed"/>
        <w:tblLook w:val="04A0" w:firstRow="1" w:lastRow="0" w:firstColumn="1" w:lastColumn="0" w:noHBand="0" w:noVBand="1"/>
      </w:tblPr>
      <w:tblGrid>
        <w:gridCol w:w="9916"/>
      </w:tblGrid>
      <w:tr w:rsidR="001B6583" w:rsidRPr="002B371B" w:rsidTr="004B59A2">
        <w:tc>
          <w:tcPr>
            <w:tcW w:w="7654" w:type="dxa"/>
          </w:tcPr>
          <w:p w:rsidR="001B6583" w:rsidRPr="0025561C" w:rsidRDefault="0025561C" w:rsidP="009866F5">
            <w:pPr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CONSEILS</w:t>
            </w:r>
          </w:p>
          <w:p w:rsidR="00BB10DD" w:rsidRDefault="00BB10DD" w:rsidP="00992E62">
            <w:pPr>
              <w:pStyle w:val="ListParagraph"/>
              <w:numPr>
                <w:ilvl w:val="0"/>
                <w:numId w:val="2"/>
              </w:numPr>
              <w:spacing w:after="120"/>
              <w:ind w:left="459"/>
              <w:rPr>
                <w:lang w:val="fr-FR"/>
              </w:rPr>
            </w:pPr>
            <w:r>
              <w:rPr>
                <w:lang w:val="fr-FR"/>
              </w:rPr>
              <w:t xml:space="preserve">Les risques doivent être pris en compte tout au long du processus d’analyse de l’intervention. L’analyse des risques peut aider à </w:t>
            </w:r>
            <w:r w:rsidR="00992E62">
              <w:rPr>
                <w:b/>
                <w:lang w:val="fr-FR"/>
              </w:rPr>
              <w:t>déterminer s’il est possible</w:t>
            </w:r>
            <w:r>
              <w:rPr>
                <w:lang w:val="fr-FR"/>
              </w:rPr>
              <w:t xml:space="preserve"> </w:t>
            </w:r>
            <w:r w:rsidR="00992E62">
              <w:rPr>
                <w:lang w:val="fr-FR"/>
              </w:rPr>
              <w:t>de mener un programme de</w:t>
            </w:r>
            <w:r>
              <w:rPr>
                <w:lang w:val="fr-FR"/>
              </w:rPr>
              <w:t xml:space="preserve"> transferts monétaires et fournir des informations utiles pour </w:t>
            </w:r>
            <w:r w:rsidRPr="00BB10DD">
              <w:rPr>
                <w:b/>
                <w:lang w:val="fr-FR"/>
              </w:rPr>
              <w:t>l’analyse comparée</w:t>
            </w:r>
            <w:r>
              <w:rPr>
                <w:lang w:val="fr-FR"/>
              </w:rPr>
              <w:t xml:space="preserve"> des différentes solutions d’intervention.</w:t>
            </w:r>
          </w:p>
          <w:p w:rsidR="00BB10DD" w:rsidRDefault="00BB10DD" w:rsidP="001032B5">
            <w:pPr>
              <w:pStyle w:val="ListParagraph"/>
              <w:numPr>
                <w:ilvl w:val="0"/>
                <w:numId w:val="2"/>
              </w:numPr>
              <w:spacing w:after="120"/>
              <w:ind w:left="459"/>
              <w:rPr>
                <w:lang w:val="fr-FR"/>
              </w:rPr>
            </w:pPr>
            <w:r>
              <w:rPr>
                <w:lang w:val="fr-FR"/>
              </w:rPr>
              <w:t xml:space="preserve">Compte tenu </w:t>
            </w:r>
            <w:r w:rsidR="00992E62">
              <w:rPr>
                <w:lang w:val="fr-FR"/>
              </w:rPr>
              <w:t>des nombreux</w:t>
            </w:r>
            <w:r>
              <w:rPr>
                <w:lang w:val="fr-FR"/>
              </w:rPr>
              <w:t xml:space="preserve"> risques </w:t>
            </w:r>
            <w:r w:rsidR="00992E62">
              <w:rPr>
                <w:lang w:val="fr-FR"/>
              </w:rPr>
              <w:t>que présente chacune des</w:t>
            </w:r>
            <w:r>
              <w:rPr>
                <w:lang w:val="fr-FR"/>
              </w:rPr>
              <w:t xml:space="preserve"> solution</w:t>
            </w:r>
            <w:r w:rsidR="00992E62">
              <w:rPr>
                <w:lang w:val="fr-FR"/>
              </w:rPr>
              <w:t>s</w:t>
            </w:r>
            <w:r>
              <w:rPr>
                <w:lang w:val="fr-FR"/>
              </w:rPr>
              <w:t xml:space="preserve"> d’intervention, </w:t>
            </w:r>
            <w:r w:rsidR="00CC606F">
              <w:rPr>
                <w:lang w:val="fr-FR"/>
              </w:rPr>
              <w:t>il peut être judicieux</w:t>
            </w:r>
            <w:r>
              <w:rPr>
                <w:lang w:val="fr-FR"/>
              </w:rPr>
              <w:t xml:space="preserve"> </w:t>
            </w:r>
            <w:r w:rsidR="00CE3CC1">
              <w:rPr>
                <w:lang w:val="fr-FR"/>
              </w:rPr>
              <w:t xml:space="preserve">de </w:t>
            </w:r>
            <w:r w:rsidR="00CE3CC1" w:rsidRPr="00CE3CC1">
              <w:rPr>
                <w:b/>
                <w:lang w:val="fr-FR"/>
              </w:rPr>
              <w:t xml:space="preserve">cibler </w:t>
            </w:r>
            <w:r w:rsidR="00CC606F">
              <w:rPr>
                <w:b/>
                <w:lang w:val="fr-FR"/>
              </w:rPr>
              <w:t>l</w:t>
            </w:r>
            <w:r w:rsidR="00CE3CC1" w:rsidRPr="00CE3CC1">
              <w:rPr>
                <w:b/>
                <w:lang w:val="fr-FR"/>
              </w:rPr>
              <w:t xml:space="preserve">es risques que vous considérez comme </w:t>
            </w:r>
            <w:r w:rsidR="001032B5">
              <w:rPr>
                <w:b/>
                <w:lang w:val="fr-FR"/>
              </w:rPr>
              <w:t xml:space="preserve">les </w:t>
            </w:r>
            <w:r w:rsidR="00CE3CC1" w:rsidRPr="00CE3CC1">
              <w:rPr>
                <w:b/>
                <w:lang w:val="fr-FR"/>
              </w:rPr>
              <w:t>plus importants</w:t>
            </w:r>
            <w:r w:rsidR="00CE3CC1" w:rsidRPr="00CE3CC1">
              <w:rPr>
                <w:lang w:val="fr-FR"/>
              </w:rPr>
              <w:t>.</w:t>
            </w:r>
            <w:r w:rsidR="00CC606F">
              <w:rPr>
                <w:lang w:val="fr-FR"/>
              </w:rPr>
              <w:t xml:space="preserve"> Lorsque le</w:t>
            </w:r>
            <w:r w:rsidR="00CE3CC1">
              <w:rPr>
                <w:lang w:val="fr-FR"/>
              </w:rPr>
              <w:t xml:space="preserve"> temps et </w:t>
            </w:r>
            <w:r w:rsidR="00CC606F">
              <w:rPr>
                <w:lang w:val="fr-FR"/>
              </w:rPr>
              <w:t xml:space="preserve">les </w:t>
            </w:r>
            <w:r w:rsidR="00CE3CC1">
              <w:rPr>
                <w:lang w:val="fr-FR"/>
              </w:rPr>
              <w:t>ressources</w:t>
            </w:r>
            <w:r w:rsidR="00CC606F">
              <w:rPr>
                <w:lang w:val="fr-FR"/>
              </w:rPr>
              <w:t xml:space="preserve"> dont vous disposez</w:t>
            </w:r>
            <w:r w:rsidR="00CE3CC1">
              <w:rPr>
                <w:lang w:val="fr-FR"/>
              </w:rPr>
              <w:t xml:space="preserve"> sont limités, </w:t>
            </w:r>
            <w:r w:rsidR="00897C4D">
              <w:rPr>
                <w:lang w:val="fr-FR"/>
              </w:rPr>
              <w:t>il est conseillé d’analyser de manière</w:t>
            </w:r>
            <w:r w:rsidR="00CE3CC1">
              <w:rPr>
                <w:lang w:val="fr-FR"/>
              </w:rPr>
              <w:t xml:space="preserve"> </w:t>
            </w:r>
            <w:r w:rsidR="00CC606F">
              <w:rPr>
                <w:lang w:val="fr-FR"/>
              </w:rPr>
              <w:t>approfondie</w:t>
            </w:r>
            <w:r w:rsidR="00CE3CC1">
              <w:rPr>
                <w:lang w:val="fr-FR"/>
              </w:rPr>
              <w:t xml:space="preserve"> seulement trois ou quatre des solutions d’intervention les plus </w:t>
            </w:r>
            <w:r w:rsidR="001032B5">
              <w:rPr>
                <w:lang w:val="fr-FR"/>
              </w:rPr>
              <w:t>susceptibles de convenir</w:t>
            </w:r>
            <w:r w:rsidR="00CE3CC1">
              <w:rPr>
                <w:lang w:val="fr-FR"/>
              </w:rPr>
              <w:t xml:space="preserve">. </w:t>
            </w:r>
          </w:p>
          <w:p w:rsidR="001B6583" w:rsidRPr="0025561C" w:rsidRDefault="00CE3CC1" w:rsidP="009866F5">
            <w:pPr>
              <w:pStyle w:val="ListParagraph"/>
              <w:numPr>
                <w:ilvl w:val="0"/>
                <w:numId w:val="2"/>
              </w:numPr>
              <w:spacing w:after="120"/>
              <w:ind w:left="459"/>
              <w:rPr>
                <w:lang w:val="fr-FR"/>
              </w:rPr>
            </w:pPr>
            <w:r>
              <w:rPr>
                <w:lang w:val="fr-FR"/>
              </w:rPr>
              <w:t xml:space="preserve">L’analyse des risques peut être enrichie par </w:t>
            </w:r>
            <w:r w:rsidRPr="00CE3CC1">
              <w:rPr>
                <w:b/>
                <w:lang w:val="fr-FR"/>
              </w:rPr>
              <w:t>la participation d’un groupe composé de différentes parties prenantes</w:t>
            </w:r>
            <w:r>
              <w:rPr>
                <w:lang w:val="fr-FR"/>
              </w:rPr>
              <w:t xml:space="preserve"> (notamment des membres de l’équipe d’évaluation, des volontaires, des membres du personnel du programme et des membres des départements de la logistique et des finances).</w:t>
            </w:r>
          </w:p>
          <w:p w:rsidR="001B6583" w:rsidRPr="00D92A3D" w:rsidRDefault="00D92A3D" w:rsidP="00B64B25">
            <w:pPr>
              <w:pStyle w:val="ListParagraph"/>
              <w:numPr>
                <w:ilvl w:val="0"/>
                <w:numId w:val="2"/>
              </w:numPr>
              <w:spacing w:after="120"/>
              <w:ind w:left="459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Permettre à </w:t>
            </w:r>
            <w:r w:rsidRPr="00D92A3D">
              <w:rPr>
                <w:b/>
                <w:szCs w:val="20"/>
                <w:lang w:val="fr-FR"/>
              </w:rPr>
              <w:t>la communauté de participer à la gestion et au suivi des risques</w:t>
            </w:r>
            <w:r>
              <w:rPr>
                <w:szCs w:val="20"/>
                <w:lang w:val="fr-FR"/>
              </w:rPr>
              <w:t xml:space="preserve"> peut renforcer la responsabilité assumée pa</w:t>
            </w:r>
            <w:r w:rsidR="001032B5">
              <w:rPr>
                <w:szCs w:val="20"/>
                <w:lang w:val="fr-FR"/>
              </w:rPr>
              <w:t xml:space="preserve">r les membres de la communauté et, ainsi, </w:t>
            </w:r>
            <w:r>
              <w:rPr>
                <w:szCs w:val="20"/>
                <w:lang w:val="fr-FR"/>
              </w:rPr>
              <w:t>garantir l’intégrité de l’intervention et</w:t>
            </w:r>
            <w:r w:rsidR="001032B5">
              <w:rPr>
                <w:szCs w:val="20"/>
                <w:lang w:val="fr-FR"/>
              </w:rPr>
              <w:t xml:space="preserve"> </w:t>
            </w:r>
            <w:r>
              <w:rPr>
                <w:szCs w:val="20"/>
                <w:lang w:val="fr-FR"/>
              </w:rPr>
              <w:t>réduire les risques.</w:t>
            </w:r>
          </w:p>
        </w:tc>
      </w:tr>
    </w:tbl>
    <w:p w:rsidR="00A17251" w:rsidRPr="0025561C" w:rsidRDefault="00A17251" w:rsidP="001B6583">
      <w:pPr>
        <w:rPr>
          <w:b/>
          <w:sz w:val="22"/>
          <w:szCs w:val="22"/>
          <w:lang w:val="fr-FR"/>
        </w:rPr>
      </w:pPr>
    </w:p>
    <w:p w:rsidR="001B6583" w:rsidRPr="0025561C" w:rsidRDefault="001032B5" w:rsidP="00203EED">
      <w:pPr>
        <w:pStyle w:val="Heading2"/>
        <w:rPr>
          <w:lang w:val="fr-FR"/>
        </w:rPr>
      </w:pPr>
      <w:r>
        <w:rPr>
          <w:lang w:val="fr-FR"/>
        </w:rPr>
        <w:t>RECENSEMENT</w:t>
      </w:r>
      <w:r w:rsidR="007F51B4">
        <w:rPr>
          <w:lang w:val="fr-FR"/>
        </w:rPr>
        <w:t xml:space="preserve"> et description des risques</w:t>
      </w:r>
    </w:p>
    <w:p w:rsidR="00EB76A6" w:rsidRPr="0025561C" w:rsidRDefault="0015617D" w:rsidP="007B1EDB">
      <w:pPr>
        <w:rPr>
          <w:lang w:val="fr-FR"/>
        </w:rPr>
      </w:pPr>
      <w:r>
        <w:rPr>
          <w:lang w:val="fr-FR"/>
        </w:rPr>
        <w:t>Il est important, d’une part, de répertorier et de décrire clairement les</w:t>
      </w:r>
      <w:r w:rsidR="00D92A3D">
        <w:rPr>
          <w:lang w:val="fr-FR"/>
        </w:rPr>
        <w:t xml:space="preserve"> risques liés à chaque solution d’intervention</w:t>
      </w:r>
      <w:r>
        <w:rPr>
          <w:lang w:val="fr-FR"/>
        </w:rPr>
        <w:t xml:space="preserve"> et, d’autre part, de recenser le</w:t>
      </w:r>
      <w:r w:rsidR="00D92A3D">
        <w:rPr>
          <w:lang w:val="fr-FR"/>
        </w:rPr>
        <w:t>urs causes et leurs conséquences</w:t>
      </w:r>
      <w:r>
        <w:rPr>
          <w:lang w:val="fr-FR"/>
        </w:rPr>
        <w:t xml:space="preserve"> potentielles</w:t>
      </w:r>
      <w:r w:rsidR="00D92A3D">
        <w:rPr>
          <w:lang w:val="fr-FR"/>
        </w:rPr>
        <w:t>. Pour ce faire, vous pouvez utiliser les outils intitulés « Modèle de matrice des risques » et « Mo</w:t>
      </w:r>
      <w:r w:rsidR="007B1EDB">
        <w:rPr>
          <w:lang w:val="fr-FR"/>
        </w:rPr>
        <w:t>dèle de registre des risques », et vous référer aux</w:t>
      </w:r>
      <w:r w:rsidR="00D92A3D">
        <w:rPr>
          <w:lang w:val="fr-FR"/>
        </w:rPr>
        <w:t xml:space="preserve"> procédures opérationnelles normalisées </w:t>
      </w:r>
      <w:r w:rsidR="007B1EDB">
        <w:rPr>
          <w:lang w:val="fr-FR"/>
        </w:rPr>
        <w:t xml:space="preserve">de la Fédération </w:t>
      </w:r>
      <w:r w:rsidR="00D92A3D">
        <w:rPr>
          <w:lang w:val="fr-FR"/>
        </w:rPr>
        <w:t>relatives aux programmes communautaires</w:t>
      </w:r>
      <w:r w:rsidR="007B1EDB">
        <w:rPr>
          <w:lang w:val="fr-FR"/>
        </w:rPr>
        <w:t>, qui</w:t>
      </w:r>
      <w:r w:rsidR="00897C4D">
        <w:rPr>
          <w:lang w:val="fr-FR"/>
        </w:rPr>
        <w:t xml:space="preserve"> </w:t>
      </w:r>
      <w:r w:rsidR="007B1EDB">
        <w:rPr>
          <w:lang w:val="fr-FR"/>
        </w:rPr>
        <w:t>contiennent</w:t>
      </w:r>
      <w:r w:rsidR="00D92A3D">
        <w:rPr>
          <w:lang w:val="fr-FR"/>
        </w:rPr>
        <w:t xml:space="preserve"> une liste de contrôle détaillée pour la gestion des risques. </w:t>
      </w:r>
      <w:r w:rsidR="007B1EDB">
        <w:rPr>
          <w:lang w:val="fr-FR"/>
        </w:rPr>
        <w:t>Les risques</w:t>
      </w:r>
      <w:r w:rsidR="00D92A3D">
        <w:rPr>
          <w:lang w:val="fr-FR"/>
        </w:rPr>
        <w:t xml:space="preserve"> peuvent être</w:t>
      </w:r>
      <w:r w:rsidR="007B1EDB">
        <w:rPr>
          <w:lang w:val="fr-FR"/>
        </w:rPr>
        <w:t xml:space="preserve"> institutionnels, contextuels ou </w:t>
      </w:r>
      <w:r w:rsidR="00D92A3D">
        <w:rPr>
          <w:lang w:val="fr-FR"/>
        </w:rPr>
        <w:t xml:space="preserve">liés </w:t>
      </w:r>
      <w:r w:rsidR="007B1EDB">
        <w:rPr>
          <w:lang w:val="fr-FR"/>
        </w:rPr>
        <w:t>au</w:t>
      </w:r>
      <w:r w:rsidR="00D92A3D">
        <w:rPr>
          <w:lang w:val="fr-FR"/>
        </w:rPr>
        <w:t>x programmes. Le tableau ci-</w:t>
      </w:r>
      <w:r w:rsidR="007B1EDB">
        <w:rPr>
          <w:lang w:val="fr-FR"/>
        </w:rPr>
        <w:t>aprè</w:t>
      </w:r>
      <w:r w:rsidR="00D92A3D">
        <w:rPr>
          <w:lang w:val="fr-FR"/>
        </w:rPr>
        <w:t xml:space="preserve">s </w:t>
      </w:r>
      <w:r w:rsidR="00ED7C64">
        <w:rPr>
          <w:lang w:val="fr-FR"/>
        </w:rPr>
        <w:t>présente</w:t>
      </w:r>
      <w:r w:rsidR="00D92A3D">
        <w:rPr>
          <w:lang w:val="fr-FR"/>
        </w:rPr>
        <w:t xml:space="preserve"> </w:t>
      </w:r>
      <w:r w:rsidR="00897C4D">
        <w:rPr>
          <w:lang w:val="fr-FR"/>
        </w:rPr>
        <w:t>des</w:t>
      </w:r>
      <w:r w:rsidR="00546681">
        <w:rPr>
          <w:lang w:val="fr-FR"/>
        </w:rPr>
        <w:t xml:space="preserve"> exemples de risques.</w:t>
      </w:r>
    </w:p>
    <w:tbl>
      <w:tblPr>
        <w:tblStyle w:val="TableGrid"/>
        <w:tblpPr w:leftFromText="141" w:rightFromText="141" w:vertAnchor="text" w:horzAnchor="margin" w:tblpY="402"/>
        <w:tblW w:w="5000" w:type="pct"/>
        <w:tblLook w:val="04A0" w:firstRow="1" w:lastRow="0" w:firstColumn="1" w:lastColumn="0" w:noHBand="0" w:noVBand="1"/>
      </w:tblPr>
      <w:tblGrid>
        <w:gridCol w:w="3240"/>
        <w:gridCol w:w="6608"/>
      </w:tblGrid>
      <w:tr w:rsidR="001B6583" w:rsidRPr="0025561C" w:rsidTr="006526FE">
        <w:trPr>
          <w:cantSplit/>
          <w:trHeight w:val="230"/>
          <w:tblHeader/>
        </w:trPr>
        <w:tc>
          <w:tcPr>
            <w:tcW w:w="1645" w:type="pct"/>
            <w:tcBorders>
              <w:bottom w:val="single" w:sz="4" w:space="0" w:color="auto"/>
            </w:tcBorders>
            <w:shd w:val="clear" w:color="auto" w:fill="DC281E"/>
          </w:tcPr>
          <w:p w:rsidR="001B6583" w:rsidRPr="0025561C" w:rsidRDefault="000C1640" w:rsidP="007F51B4">
            <w:pPr>
              <w:keepNext/>
              <w:keepLines/>
              <w:pageBreakBefore/>
              <w:spacing w:before="120"/>
              <w:jc w:val="center"/>
              <w:rPr>
                <w:b/>
                <w:color w:val="FFFFFF" w:themeColor="background1"/>
                <w:lang w:val="fr-FR"/>
              </w:rPr>
            </w:pPr>
            <w:r w:rsidRPr="0025561C">
              <w:rPr>
                <w:b/>
                <w:color w:val="FFFFFF" w:themeColor="background1"/>
                <w:lang w:val="fr-FR"/>
              </w:rPr>
              <w:lastRenderedPageBreak/>
              <w:t>Type</w:t>
            </w:r>
            <w:r w:rsidR="00BB192A" w:rsidRPr="0025561C">
              <w:rPr>
                <w:b/>
                <w:color w:val="FFFFFF" w:themeColor="background1"/>
                <w:lang w:val="fr-FR"/>
              </w:rPr>
              <w:t>s</w:t>
            </w:r>
            <w:r w:rsidRPr="0025561C">
              <w:rPr>
                <w:b/>
                <w:color w:val="FFFFFF" w:themeColor="background1"/>
                <w:lang w:val="fr-FR"/>
              </w:rPr>
              <w:t xml:space="preserve"> </w:t>
            </w:r>
            <w:r w:rsidR="007F51B4">
              <w:rPr>
                <w:b/>
                <w:color w:val="FFFFFF" w:themeColor="background1"/>
                <w:lang w:val="fr-FR"/>
              </w:rPr>
              <w:t>de risques</w:t>
            </w:r>
          </w:p>
        </w:tc>
        <w:tc>
          <w:tcPr>
            <w:tcW w:w="3355" w:type="pct"/>
            <w:tcBorders>
              <w:bottom w:val="single" w:sz="4" w:space="0" w:color="auto"/>
            </w:tcBorders>
            <w:shd w:val="clear" w:color="auto" w:fill="DC281E"/>
          </w:tcPr>
          <w:p w:rsidR="001B6583" w:rsidRPr="0025561C" w:rsidRDefault="007F51B4" w:rsidP="00A127EA">
            <w:pPr>
              <w:keepNext/>
              <w:keepLines/>
              <w:spacing w:before="120"/>
              <w:jc w:val="center"/>
              <w:rPr>
                <w:b/>
                <w:color w:val="FFFFFF" w:themeColor="background1"/>
                <w:lang w:val="fr-FR"/>
              </w:rPr>
            </w:pPr>
            <w:r>
              <w:rPr>
                <w:b/>
                <w:color w:val="FFFFFF" w:themeColor="background1"/>
                <w:lang w:val="fr-FR"/>
              </w:rPr>
              <w:t>Exe</w:t>
            </w:r>
            <w:r w:rsidR="000C1640" w:rsidRPr="0025561C">
              <w:rPr>
                <w:b/>
                <w:color w:val="FFFFFF" w:themeColor="background1"/>
                <w:lang w:val="fr-FR"/>
              </w:rPr>
              <w:t>mples</w:t>
            </w:r>
          </w:p>
        </w:tc>
      </w:tr>
      <w:tr w:rsidR="001B6583" w:rsidRPr="002B371B" w:rsidTr="006526FE">
        <w:trPr>
          <w:cantSplit/>
          <w:trHeight w:val="1242"/>
          <w:tblHeader/>
        </w:trPr>
        <w:tc>
          <w:tcPr>
            <w:tcW w:w="1645" w:type="pct"/>
            <w:shd w:val="clear" w:color="auto" w:fill="A6A6A6"/>
          </w:tcPr>
          <w:p w:rsidR="001B6583" w:rsidRPr="0025561C" w:rsidRDefault="00B413A2" w:rsidP="008112C7">
            <w:pPr>
              <w:keepNext/>
              <w:keepLines/>
              <w:spacing w:beforeLines="60" w:before="144" w:afterLines="20" w:after="48"/>
              <w:jc w:val="left"/>
              <w:rPr>
                <w:lang w:val="fr-FR"/>
              </w:rPr>
            </w:pPr>
            <w:r>
              <w:rPr>
                <w:lang w:val="fr-FR"/>
              </w:rPr>
              <w:t>Contextuels</w:t>
            </w:r>
          </w:p>
          <w:p w:rsidR="001B6583" w:rsidRPr="0025561C" w:rsidRDefault="00BB192A" w:rsidP="008112C7">
            <w:pPr>
              <w:keepNext/>
              <w:keepLines/>
              <w:spacing w:beforeLines="60" w:before="144" w:afterLines="20" w:after="48"/>
              <w:jc w:val="left"/>
              <w:rPr>
                <w:i/>
                <w:lang w:val="fr-FR"/>
              </w:rPr>
            </w:pPr>
            <w:r w:rsidRPr="0025561C">
              <w:rPr>
                <w:i/>
                <w:lang w:val="fr-FR"/>
              </w:rPr>
              <w:t>Extern</w:t>
            </w:r>
            <w:r w:rsidR="0048737A">
              <w:rPr>
                <w:i/>
                <w:lang w:val="fr-FR"/>
              </w:rPr>
              <w:t>es à l’organisation : politiques, économiques, environnementaux, etc.</w:t>
            </w:r>
          </w:p>
        </w:tc>
        <w:tc>
          <w:tcPr>
            <w:tcW w:w="3355" w:type="pct"/>
            <w:shd w:val="clear" w:color="auto" w:fill="E6E6E6"/>
          </w:tcPr>
          <w:p w:rsidR="001B6583" w:rsidRPr="0025561C" w:rsidRDefault="00611552" w:rsidP="008F1D52">
            <w:pPr>
              <w:pStyle w:val="BulletTableau"/>
              <w:framePr w:hSpace="0" w:wrap="auto" w:vAnchor="margin" w:hAnchor="text" w:yAlign="inline"/>
              <w:spacing w:before="144" w:after="48"/>
              <w:rPr>
                <w:lang w:val="fr-FR"/>
              </w:rPr>
            </w:pPr>
            <w:r>
              <w:rPr>
                <w:lang w:val="fr-FR"/>
              </w:rPr>
              <w:t>Aléas climatiques (inondations, sécheresses</w:t>
            </w:r>
            <w:r w:rsidR="000C1640" w:rsidRPr="0025561C">
              <w:rPr>
                <w:lang w:val="fr-FR"/>
              </w:rPr>
              <w:t>)</w:t>
            </w:r>
          </w:p>
          <w:p w:rsidR="001B6583" w:rsidRDefault="00611552" w:rsidP="008F1D52">
            <w:pPr>
              <w:pStyle w:val="BulletTableau"/>
              <w:framePr w:hSpace="0" w:wrap="auto" w:vAnchor="margin" w:hAnchor="text" w:yAlign="inline"/>
              <w:spacing w:before="144" w:after="48"/>
              <w:rPr>
                <w:lang w:val="fr-FR"/>
              </w:rPr>
            </w:pPr>
            <w:r>
              <w:rPr>
                <w:lang w:val="fr-FR"/>
              </w:rPr>
              <w:t>Conflits et dé</w:t>
            </w:r>
            <w:r w:rsidR="000C1640" w:rsidRPr="0025561C">
              <w:rPr>
                <w:lang w:val="fr-FR"/>
              </w:rPr>
              <w:t>placements</w:t>
            </w:r>
          </w:p>
          <w:p w:rsidR="00611552" w:rsidRPr="0025561C" w:rsidRDefault="00611552" w:rsidP="008F1D52">
            <w:pPr>
              <w:pStyle w:val="BulletTableau"/>
              <w:framePr w:hSpace="0" w:wrap="auto" w:vAnchor="margin" w:hAnchor="text" w:yAlign="inline"/>
              <w:spacing w:before="144" w:after="48"/>
              <w:rPr>
                <w:lang w:val="fr-FR"/>
              </w:rPr>
            </w:pPr>
            <w:r>
              <w:rPr>
                <w:lang w:val="fr-FR"/>
              </w:rPr>
              <w:t>Instabilité politique et troubles sociaux</w:t>
            </w:r>
          </w:p>
          <w:p w:rsidR="001B6583" w:rsidRPr="0025561C" w:rsidRDefault="00611552" w:rsidP="008F1D52">
            <w:pPr>
              <w:pStyle w:val="BulletTableau"/>
              <w:framePr w:hSpace="0" w:wrap="auto" w:vAnchor="margin" w:hAnchor="text" w:yAlign="inline"/>
              <w:spacing w:before="144" w:after="48"/>
              <w:rPr>
                <w:lang w:val="fr-FR"/>
              </w:rPr>
            </w:pPr>
            <w:r>
              <w:rPr>
                <w:lang w:val="fr-FR"/>
              </w:rPr>
              <w:t>Crises financières mondiales</w:t>
            </w:r>
          </w:p>
          <w:p w:rsidR="001B6583" w:rsidRPr="00611552" w:rsidRDefault="00611552" w:rsidP="00611552">
            <w:pPr>
              <w:pStyle w:val="BulletTableau"/>
              <w:framePr w:hSpace="0" w:wrap="auto" w:vAnchor="margin" w:hAnchor="text" w:yAlign="inline"/>
              <w:spacing w:before="144" w:after="48"/>
              <w:rPr>
                <w:lang w:val="fr-FR"/>
              </w:rPr>
            </w:pPr>
            <w:r>
              <w:rPr>
                <w:lang w:val="fr-FR"/>
              </w:rPr>
              <w:t>Augmentation des prix due à l’inflation mondiale/nationale</w:t>
            </w:r>
          </w:p>
        </w:tc>
      </w:tr>
      <w:tr w:rsidR="001B6583" w:rsidRPr="002B371B" w:rsidTr="006526FE">
        <w:trPr>
          <w:cantSplit/>
          <w:trHeight w:val="2452"/>
          <w:tblHeader/>
        </w:trPr>
        <w:tc>
          <w:tcPr>
            <w:tcW w:w="1645" w:type="pct"/>
            <w:shd w:val="clear" w:color="auto" w:fill="A6A6A6"/>
          </w:tcPr>
          <w:p w:rsidR="001B6583" w:rsidRPr="0025561C" w:rsidRDefault="007F51B4" w:rsidP="008112C7">
            <w:pPr>
              <w:keepNext/>
              <w:keepLines/>
              <w:spacing w:beforeLines="60" w:before="144" w:afterLines="20" w:after="48"/>
              <w:jc w:val="left"/>
              <w:rPr>
                <w:lang w:val="fr-FR"/>
              </w:rPr>
            </w:pPr>
            <w:r>
              <w:rPr>
                <w:lang w:val="fr-FR"/>
              </w:rPr>
              <w:t>Liés aux programmes</w:t>
            </w:r>
          </w:p>
          <w:p w:rsidR="001B6583" w:rsidRPr="0025561C" w:rsidRDefault="00B413A2" w:rsidP="00B413A2">
            <w:pPr>
              <w:keepNext/>
              <w:keepLines/>
              <w:spacing w:beforeLines="60" w:before="144" w:afterLines="20" w:after="48"/>
              <w:jc w:val="left"/>
              <w:rPr>
                <w:i/>
                <w:lang w:val="fr-FR"/>
              </w:rPr>
            </w:pPr>
            <w:r>
              <w:rPr>
                <w:i/>
                <w:lang w:val="fr-FR"/>
              </w:rPr>
              <w:t>Impossibilité</w:t>
            </w:r>
            <w:r w:rsidR="0048737A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>d’</w:t>
            </w:r>
            <w:r w:rsidR="0048737A">
              <w:rPr>
                <w:i/>
                <w:lang w:val="fr-FR"/>
              </w:rPr>
              <w:t xml:space="preserve">atteindre les objectifs du programme et/ou </w:t>
            </w:r>
            <w:r>
              <w:rPr>
                <w:i/>
                <w:lang w:val="fr-FR"/>
              </w:rPr>
              <w:t>conséquences non prévues</w:t>
            </w:r>
          </w:p>
        </w:tc>
        <w:tc>
          <w:tcPr>
            <w:tcW w:w="3355" w:type="pct"/>
            <w:shd w:val="clear" w:color="auto" w:fill="E6E6E6"/>
          </w:tcPr>
          <w:p w:rsidR="00611552" w:rsidRDefault="00611552" w:rsidP="00B413A2">
            <w:pPr>
              <w:pStyle w:val="BulletTableau"/>
              <w:framePr w:hSpace="0" w:wrap="auto" w:vAnchor="margin" w:hAnchor="text" w:yAlign="inline"/>
              <w:spacing w:before="144" w:after="48"/>
              <w:rPr>
                <w:lang w:val="fr-FR"/>
              </w:rPr>
            </w:pPr>
            <w:r>
              <w:rPr>
                <w:lang w:val="fr-FR"/>
              </w:rPr>
              <w:t>I</w:t>
            </w:r>
            <w:r w:rsidR="00B413A2">
              <w:rPr>
                <w:lang w:val="fr-FR"/>
              </w:rPr>
              <w:t>mpossibilité d’</w:t>
            </w:r>
            <w:r>
              <w:rPr>
                <w:lang w:val="fr-FR"/>
              </w:rPr>
              <w:t>obtenir des fonds pour les opérations de transferts monétaires quand et o</w:t>
            </w:r>
            <w:r w:rsidR="00047954">
              <w:rPr>
                <w:lang w:val="fr-FR"/>
              </w:rPr>
              <w:t xml:space="preserve">ù </w:t>
            </w:r>
            <w:r w:rsidR="00B413A2">
              <w:rPr>
                <w:lang w:val="fr-FR"/>
              </w:rPr>
              <w:t>elles sont</w:t>
            </w:r>
            <w:r w:rsidR="00047954">
              <w:rPr>
                <w:lang w:val="fr-FR"/>
              </w:rPr>
              <w:t xml:space="preserve"> nécessaire</w:t>
            </w:r>
            <w:r w:rsidR="00B413A2">
              <w:rPr>
                <w:lang w:val="fr-FR"/>
              </w:rPr>
              <w:t>s</w:t>
            </w:r>
          </w:p>
          <w:p w:rsidR="001B6583" w:rsidRPr="0025561C" w:rsidRDefault="00611552" w:rsidP="008F1D52">
            <w:pPr>
              <w:pStyle w:val="BulletTableau"/>
              <w:framePr w:hSpace="0" w:wrap="auto" w:vAnchor="margin" w:hAnchor="text" w:yAlign="inline"/>
              <w:spacing w:before="144" w:after="48"/>
              <w:rPr>
                <w:lang w:val="fr-FR"/>
              </w:rPr>
            </w:pPr>
            <w:r>
              <w:rPr>
                <w:lang w:val="fr-FR"/>
              </w:rPr>
              <w:t>Risques d’</w:t>
            </w:r>
            <w:r w:rsidR="00ED7C64">
              <w:rPr>
                <w:lang w:val="fr-FR"/>
              </w:rPr>
              <w:t>inflation induits</w:t>
            </w:r>
            <w:r>
              <w:rPr>
                <w:lang w:val="fr-FR"/>
              </w:rPr>
              <w:t xml:space="preserve"> par le programme : un nombre plus élevé d’acheteurs et une offre limitée peuvent </w:t>
            </w:r>
            <w:r w:rsidR="00ED7C64">
              <w:rPr>
                <w:lang w:val="fr-FR"/>
              </w:rPr>
              <w:t>provoquer</w:t>
            </w:r>
            <w:r>
              <w:rPr>
                <w:lang w:val="fr-FR"/>
              </w:rPr>
              <w:t xml:space="preserve"> une augmentation des prix</w:t>
            </w:r>
          </w:p>
          <w:p w:rsidR="00611552" w:rsidRDefault="00611552" w:rsidP="00B413A2">
            <w:pPr>
              <w:pStyle w:val="BulletTableau"/>
              <w:framePr w:hSpace="0" w:wrap="auto" w:vAnchor="margin" w:hAnchor="text" w:yAlign="inline"/>
              <w:spacing w:before="144" w:after="48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B413A2">
              <w:rPr>
                <w:lang w:val="fr-FR"/>
              </w:rPr>
              <w:t>’argent n’est pas utilisé pour satisfaire les besoins recensés</w:t>
            </w:r>
            <w:r>
              <w:rPr>
                <w:lang w:val="fr-FR"/>
              </w:rPr>
              <w:t xml:space="preserve"> : </w:t>
            </w:r>
            <w:r w:rsidR="00B413A2">
              <w:rPr>
                <w:lang w:val="fr-FR"/>
              </w:rPr>
              <w:t>il est détourné</w:t>
            </w:r>
            <w:r w:rsidR="00750F3B">
              <w:rPr>
                <w:lang w:val="fr-FR"/>
              </w:rPr>
              <w:t xml:space="preserve"> pour </w:t>
            </w:r>
            <w:r w:rsidR="00ED7C64">
              <w:rPr>
                <w:lang w:val="fr-FR"/>
              </w:rPr>
              <w:t>l’achat de</w:t>
            </w:r>
            <w:r w:rsidR="00750F3B">
              <w:rPr>
                <w:lang w:val="fr-FR"/>
              </w:rPr>
              <w:t xml:space="preserve"> biens non prévus ou non souhaités (alcool, drogue, armes) </w:t>
            </w:r>
          </w:p>
          <w:p w:rsidR="001B6583" w:rsidRPr="0025561C" w:rsidRDefault="00750F3B" w:rsidP="006C6D7C">
            <w:pPr>
              <w:pStyle w:val="BulletTableau"/>
              <w:framePr w:hSpace="0" w:wrap="auto" w:vAnchor="margin" w:hAnchor="text" w:yAlign="inline"/>
              <w:spacing w:before="144" w:after="48"/>
              <w:rPr>
                <w:lang w:val="fr-FR"/>
              </w:rPr>
            </w:pPr>
            <w:r>
              <w:rPr>
                <w:lang w:val="fr-FR"/>
              </w:rPr>
              <w:t>Erreurs d’identification (</w:t>
            </w:r>
            <w:r w:rsidR="006C6D7C">
              <w:rPr>
                <w:lang w:val="fr-FR"/>
              </w:rPr>
              <w:t>les bénéficiaires ne se rende</w:t>
            </w:r>
            <w:r>
              <w:rPr>
                <w:lang w:val="fr-FR"/>
              </w:rPr>
              <w:t xml:space="preserve">nt pas aux distributions, bénéficiaires fantômes, </w:t>
            </w:r>
            <w:r w:rsidR="006C6D7C">
              <w:rPr>
                <w:lang w:val="fr-FR"/>
              </w:rPr>
              <w:t>doubles distributions</w:t>
            </w:r>
            <w:r>
              <w:rPr>
                <w:lang w:val="fr-FR"/>
              </w:rPr>
              <w:t>)</w:t>
            </w:r>
          </w:p>
          <w:p w:rsidR="001B6583" w:rsidRPr="0025561C" w:rsidRDefault="00750F3B" w:rsidP="006C6D7C">
            <w:pPr>
              <w:pStyle w:val="BulletTableau"/>
              <w:framePr w:hSpace="0" w:wrap="auto" w:vAnchor="margin" w:hAnchor="text" w:yAlign="inline"/>
              <w:spacing w:before="144" w:after="48"/>
              <w:rPr>
                <w:lang w:val="fr-FR"/>
              </w:rPr>
            </w:pPr>
            <w:r>
              <w:rPr>
                <w:lang w:val="fr-FR"/>
              </w:rPr>
              <w:t xml:space="preserve">Risques </w:t>
            </w:r>
            <w:r w:rsidR="006C6D7C">
              <w:rPr>
                <w:lang w:val="fr-FR"/>
              </w:rPr>
              <w:t>pour le</w:t>
            </w:r>
            <w:r>
              <w:rPr>
                <w:lang w:val="fr-FR"/>
              </w:rPr>
              <w:t xml:space="preserve"> sécurité </w:t>
            </w:r>
            <w:r w:rsidR="006C6D7C">
              <w:rPr>
                <w:lang w:val="fr-FR"/>
              </w:rPr>
              <w:t>d</w:t>
            </w:r>
            <w:r>
              <w:rPr>
                <w:lang w:val="fr-FR"/>
              </w:rPr>
              <w:t>es bénéficiaires et</w:t>
            </w:r>
            <w:r w:rsidR="006C6D7C">
              <w:rPr>
                <w:lang w:val="fr-FR"/>
              </w:rPr>
              <w:t xml:space="preserve"> du personnel</w:t>
            </w:r>
          </w:p>
        </w:tc>
      </w:tr>
      <w:tr w:rsidR="001B6583" w:rsidRPr="002B371B" w:rsidTr="006526FE">
        <w:trPr>
          <w:cantSplit/>
          <w:trHeight w:val="1225"/>
          <w:tblHeader/>
        </w:trPr>
        <w:tc>
          <w:tcPr>
            <w:tcW w:w="1645" w:type="pct"/>
            <w:shd w:val="clear" w:color="auto" w:fill="A6A6A6"/>
          </w:tcPr>
          <w:p w:rsidR="001B6583" w:rsidRPr="0025561C" w:rsidRDefault="007F51B4" w:rsidP="008112C7">
            <w:pPr>
              <w:keepNext/>
              <w:keepLines/>
              <w:spacing w:beforeLines="60" w:before="144" w:afterLines="20" w:after="48"/>
              <w:jc w:val="left"/>
              <w:rPr>
                <w:lang w:val="fr-FR"/>
              </w:rPr>
            </w:pPr>
            <w:r>
              <w:rPr>
                <w:lang w:val="fr-FR"/>
              </w:rPr>
              <w:t>Institutionnels</w:t>
            </w:r>
          </w:p>
          <w:p w:rsidR="001B6583" w:rsidRPr="0048737A" w:rsidRDefault="0048737A" w:rsidP="00B413A2">
            <w:pPr>
              <w:keepNext/>
              <w:keepLines/>
              <w:spacing w:beforeLines="60" w:before="144" w:afterLines="20" w:after="48"/>
              <w:jc w:val="left"/>
              <w:rPr>
                <w:i/>
                <w:lang w:val="fr-FR"/>
              </w:rPr>
            </w:pPr>
            <w:r>
              <w:rPr>
                <w:i/>
                <w:lang w:val="fr-FR"/>
              </w:rPr>
              <w:t>Internes</w:t>
            </w:r>
            <w:r w:rsidR="00BB192A" w:rsidRPr="0025561C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>à</w:t>
            </w:r>
            <w:r w:rsidR="00BB192A" w:rsidRPr="0025561C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>l’organis</w:t>
            </w:r>
            <w:r w:rsidR="000C1640" w:rsidRPr="0025561C">
              <w:rPr>
                <w:i/>
                <w:lang w:val="fr-FR"/>
              </w:rPr>
              <w:t>ation</w:t>
            </w:r>
            <w:r w:rsidR="00B413A2">
              <w:rPr>
                <w:i/>
                <w:lang w:val="fr-FR"/>
              </w:rPr>
              <w:t> </w:t>
            </w:r>
            <w:r w:rsidR="000C1640" w:rsidRPr="0025561C">
              <w:rPr>
                <w:i/>
                <w:lang w:val="fr-FR"/>
              </w:rPr>
              <w:t xml:space="preserve">: </w:t>
            </w:r>
            <w:r>
              <w:rPr>
                <w:i/>
                <w:lang w:val="fr-FR"/>
              </w:rPr>
              <w:t xml:space="preserve">problèmes fiduciaires, pertes d’argent </w:t>
            </w:r>
            <w:r w:rsidR="00B413A2">
              <w:rPr>
                <w:i/>
                <w:lang w:val="fr-FR"/>
              </w:rPr>
              <w:t>dues à</w:t>
            </w:r>
            <w:r>
              <w:rPr>
                <w:i/>
                <w:lang w:val="fr-FR"/>
              </w:rPr>
              <w:t xml:space="preserve"> la corruption, etc.</w:t>
            </w:r>
          </w:p>
        </w:tc>
        <w:tc>
          <w:tcPr>
            <w:tcW w:w="3355" w:type="pct"/>
            <w:shd w:val="clear" w:color="auto" w:fill="E6E6E6"/>
          </w:tcPr>
          <w:p w:rsidR="00750F3B" w:rsidRDefault="00750F3B" w:rsidP="006C6D7C">
            <w:pPr>
              <w:pStyle w:val="BulletTableau"/>
              <w:framePr w:hSpace="0" w:wrap="auto" w:vAnchor="margin" w:hAnchor="text" w:yAlign="inline"/>
              <w:spacing w:before="144" w:after="48"/>
              <w:rPr>
                <w:lang w:val="fr-FR"/>
              </w:rPr>
            </w:pPr>
            <w:r>
              <w:rPr>
                <w:lang w:val="fr-FR"/>
              </w:rPr>
              <w:t xml:space="preserve">Problèmes de sécurité </w:t>
            </w:r>
            <w:r w:rsidR="006C6D7C">
              <w:rPr>
                <w:lang w:val="fr-FR"/>
              </w:rPr>
              <w:t>d</w:t>
            </w:r>
            <w:r>
              <w:rPr>
                <w:lang w:val="fr-FR"/>
              </w:rPr>
              <w:t>es transactions financières</w:t>
            </w:r>
          </w:p>
          <w:p w:rsidR="001B6583" w:rsidRPr="0025561C" w:rsidRDefault="00750F3B" w:rsidP="008F1D52">
            <w:pPr>
              <w:pStyle w:val="BulletTableau"/>
              <w:framePr w:hSpace="0" w:wrap="auto" w:vAnchor="margin" w:hAnchor="text" w:yAlign="inline"/>
              <w:spacing w:before="144" w:after="48"/>
              <w:rPr>
                <w:lang w:val="fr-FR"/>
              </w:rPr>
            </w:pPr>
            <w:r>
              <w:rPr>
                <w:lang w:val="fr-FR"/>
              </w:rPr>
              <w:t>Fraude à grande échelle et risque pour la réputation de l’organisation</w:t>
            </w:r>
          </w:p>
          <w:p w:rsidR="001B6583" w:rsidRPr="005A33A9" w:rsidRDefault="005A33A9" w:rsidP="006C6D7C">
            <w:pPr>
              <w:pStyle w:val="BulletTableau"/>
              <w:framePr w:hSpace="0" w:wrap="auto" w:vAnchor="margin" w:hAnchor="text" w:yAlign="inline"/>
              <w:spacing w:before="144" w:after="48"/>
              <w:rPr>
                <w:lang w:val="fr-FR"/>
              </w:rPr>
            </w:pPr>
            <w:r>
              <w:rPr>
                <w:lang w:val="fr-FR"/>
              </w:rPr>
              <w:t xml:space="preserve">Manque de cohérence </w:t>
            </w:r>
            <w:r w:rsidR="006C6D7C">
              <w:rPr>
                <w:lang w:val="fr-FR"/>
              </w:rPr>
              <w:t>avec les interventions menées par des a</w:t>
            </w:r>
            <w:r>
              <w:rPr>
                <w:lang w:val="fr-FR"/>
              </w:rPr>
              <w:t xml:space="preserve">cteurs clés (montant des transferts, mécanismes de distribution, </w:t>
            </w:r>
            <w:r w:rsidR="006C6D7C">
              <w:rPr>
                <w:lang w:val="fr-FR"/>
              </w:rPr>
              <w:t>ciblage</w:t>
            </w:r>
            <w:r>
              <w:rPr>
                <w:lang w:val="fr-FR"/>
              </w:rPr>
              <w:t>, etc.)</w:t>
            </w:r>
          </w:p>
        </w:tc>
      </w:tr>
    </w:tbl>
    <w:p w:rsidR="00020F03" w:rsidRPr="0025561C" w:rsidRDefault="007F51B4" w:rsidP="00282B27">
      <w:pPr>
        <w:pStyle w:val="Heading2"/>
        <w:spacing w:before="480"/>
        <w:rPr>
          <w:lang w:val="fr-FR"/>
        </w:rPr>
      </w:pPr>
      <w:r>
        <w:rPr>
          <w:lang w:val="fr-FR"/>
        </w:rPr>
        <w:t xml:space="preserve">classement des risques en fonction de leur </w:t>
      </w:r>
      <w:r w:rsidR="00282B27">
        <w:rPr>
          <w:lang w:val="fr-FR"/>
        </w:rPr>
        <w:t>IMPORTANCE</w:t>
      </w:r>
    </w:p>
    <w:p w:rsidR="001B6583" w:rsidRPr="0025561C" w:rsidRDefault="007F51B4" w:rsidP="000A378D">
      <w:pPr>
        <w:rPr>
          <w:lang w:val="fr-FR"/>
        </w:rPr>
      </w:pPr>
      <w:r>
        <w:rPr>
          <w:lang w:val="fr-FR"/>
        </w:rPr>
        <w:t>L</w:t>
      </w:r>
      <w:r w:rsidR="000A378D">
        <w:rPr>
          <w:lang w:val="fr-FR"/>
        </w:rPr>
        <w:t xml:space="preserve">’importance </w:t>
      </w:r>
      <w:r>
        <w:rPr>
          <w:lang w:val="fr-FR"/>
        </w:rPr>
        <w:t>d’un risque est déterminé</w:t>
      </w:r>
      <w:r w:rsidR="00406C2B">
        <w:rPr>
          <w:lang w:val="fr-FR"/>
        </w:rPr>
        <w:t>e</w:t>
      </w:r>
      <w:r>
        <w:rPr>
          <w:lang w:val="fr-FR"/>
        </w:rPr>
        <w:t xml:space="preserve"> par deux facteurs :</w:t>
      </w:r>
    </w:p>
    <w:p w:rsidR="001B6583" w:rsidRPr="0025561C" w:rsidRDefault="00ED7C64" w:rsidP="00895850">
      <w:pPr>
        <w:pStyle w:val="Bullet2"/>
        <w:rPr>
          <w:lang w:val="fr-FR"/>
        </w:rPr>
      </w:pPr>
      <w:r>
        <w:rPr>
          <w:lang w:val="fr-FR"/>
        </w:rPr>
        <w:t>l</w:t>
      </w:r>
      <w:r w:rsidR="007F51B4">
        <w:rPr>
          <w:lang w:val="fr-FR"/>
        </w:rPr>
        <w:t>a probabilité que le risque se produise</w:t>
      </w:r>
      <w:r>
        <w:rPr>
          <w:lang w:val="fr-FR"/>
        </w:rPr>
        <w:t> ;</w:t>
      </w:r>
    </w:p>
    <w:p w:rsidR="001B6583" w:rsidRPr="0025561C" w:rsidRDefault="00ED7C64" w:rsidP="00895850">
      <w:pPr>
        <w:pStyle w:val="Bullet2"/>
        <w:rPr>
          <w:lang w:val="fr-FR"/>
        </w:rPr>
      </w:pPr>
      <w:r>
        <w:rPr>
          <w:lang w:val="fr-FR"/>
        </w:rPr>
        <w:t>l’</w:t>
      </w:r>
      <w:r w:rsidR="000C1640" w:rsidRPr="0025561C">
        <w:rPr>
          <w:lang w:val="fr-FR"/>
        </w:rPr>
        <w:t>impact (</w:t>
      </w:r>
      <w:r w:rsidR="007F51B4">
        <w:rPr>
          <w:lang w:val="fr-FR"/>
        </w:rPr>
        <w:t>les consé</w:t>
      </w:r>
      <w:r w:rsidR="000C1640" w:rsidRPr="0025561C">
        <w:rPr>
          <w:lang w:val="fr-FR"/>
        </w:rPr>
        <w:t xml:space="preserve">quences) </w:t>
      </w:r>
      <w:r w:rsidR="007F51B4">
        <w:rPr>
          <w:lang w:val="fr-FR"/>
        </w:rPr>
        <w:t>du risque, lorsqu’il s’est produit</w:t>
      </w:r>
      <w:r>
        <w:rPr>
          <w:lang w:val="fr-FR"/>
        </w:rPr>
        <w:t>.</w:t>
      </w:r>
    </w:p>
    <w:p w:rsidR="00406C2B" w:rsidRDefault="007F51B4" w:rsidP="00406C2B">
      <w:pPr>
        <w:spacing w:after="360"/>
        <w:rPr>
          <w:lang w:val="fr-FR"/>
        </w:rPr>
      </w:pPr>
      <w:r>
        <w:rPr>
          <w:lang w:val="fr-FR"/>
        </w:rPr>
        <w:t xml:space="preserve">Le classement des risques en fonction de leur </w:t>
      </w:r>
      <w:r w:rsidR="00406C2B">
        <w:rPr>
          <w:lang w:val="fr-FR"/>
        </w:rPr>
        <w:t>importance</w:t>
      </w:r>
      <w:r>
        <w:rPr>
          <w:lang w:val="fr-FR"/>
        </w:rPr>
        <w:t xml:space="preserve"> vous aidera à dé</w:t>
      </w:r>
      <w:r w:rsidR="00ED7C64">
        <w:rPr>
          <w:lang w:val="fr-FR"/>
        </w:rPr>
        <w:t>terminer</w:t>
      </w:r>
      <w:r>
        <w:rPr>
          <w:lang w:val="fr-FR"/>
        </w:rPr>
        <w:t xml:space="preserve"> quels sont les risques acceptables, quels sont les risques </w:t>
      </w:r>
      <w:r w:rsidR="00406C2B">
        <w:rPr>
          <w:lang w:val="fr-FR"/>
        </w:rPr>
        <w:t>qui peuvent</w:t>
      </w:r>
      <w:r>
        <w:rPr>
          <w:lang w:val="fr-FR"/>
        </w:rPr>
        <w:t xml:space="preserve"> être réduits et quels sont </w:t>
      </w:r>
      <w:r w:rsidR="00406C2B">
        <w:rPr>
          <w:lang w:val="fr-FR"/>
        </w:rPr>
        <w:t>ceux</w:t>
      </w:r>
      <w:r>
        <w:rPr>
          <w:lang w:val="fr-FR"/>
        </w:rPr>
        <w:t xml:space="preserve"> qui doivent être évités. Pour </w:t>
      </w:r>
      <w:r w:rsidR="00ED7C64">
        <w:rPr>
          <w:lang w:val="fr-FR"/>
        </w:rPr>
        <w:t xml:space="preserve">ce faire, </w:t>
      </w:r>
      <w:r>
        <w:rPr>
          <w:lang w:val="fr-FR"/>
        </w:rPr>
        <w:t>vous pouvez utiliser la matrice de classement proposée ci-</w:t>
      </w:r>
      <w:r w:rsidR="00406C2B">
        <w:rPr>
          <w:lang w:val="fr-FR"/>
        </w:rPr>
        <w:t>aprè</w:t>
      </w:r>
      <w:r>
        <w:rPr>
          <w:lang w:val="fr-FR"/>
        </w:rPr>
        <w:t>s.</w:t>
      </w:r>
    </w:p>
    <w:p w:rsidR="00406C2B" w:rsidRDefault="00406C2B">
      <w:pPr>
        <w:spacing w:after="0"/>
        <w:jc w:val="left"/>
        <w:rPr>
          <w:lang w:val="fr-FR"/>
        </w:rPr>
      </w:pPr>
      <w:r>
        <w:rPr>
          <w:lang w:val="fr-FR"/>
        </w:rPr>
        <w:br w:type="page"/>
      </w:r>
    </w:p>
    <w:p w:rsidR="001B6583" w:rsidRPr="007F51B4" w:rsidRDefault="001B6583" w:rsidP="00406C2B">
      <w:pPr>
        <w:spacing w:after="360"/>
        <w:rPr>
          <w:lang w:val="fr-F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2"/>
        <w:gridCol w:w="1526"/>
        <w:gridCol w:w="1528"/>
        <w:gridCol w:w="1526"/>
        <w:gridCol w:w="1528"/>
        <w:gridCol w:w="1528"/>
      </w:tblGrid>
      <w:tr w:rsidR="00467163" w:rsidRPr="0025561C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  <w:tl2br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3F4751">
            <w:pPr>
              <w:ind w:right="170"/>
              <w:jc w:val="right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 w:rsidRPr="0025561C">
              <w:rPr>
                <w:rFonts w:ascii="Arial Bold" w:hAnsi="Arial Bold"/>
                <w:b/>
                <w:color w:val="FFFFFF" w:themeColor="background1"/>
                <w:lang w:val="fr-FR"/>
              </w:rPr>
              <w:t>Impact</w:t>
            </w:r>
          </w:p>
          <w:p w:rsidR="00020F03" w:rsidRPr="0025561C" w:rsidRDefault="008E008C" w:rsidP="007F51B4">
            <w:pPr>
              <w:ind w:left="-142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 w:rsidRPr="0025561C">
              <w:rPr>
                <w:rFonts w:ascii="Arial Bold" w:hAnsi="Arial Bold"/>
                <w:b/>
                <w:color w:val="FFFFFF" w:themeColor="background1"/>
                <w:lang w:val="fr-FR"/>
              </w:rPr>
              <w:t xml:space="preserve"> </w:t>
            </w:r>
            <w:r w:rsidR="007F51B4">
              <w:rPr>
                <w:rFonts w:ascii="Arial Bold" w:hAnsi="Arial Bold"/>
                <w:b/>
                <w:color w:val="FFFFFF" w:themeColor="background1"/>
                <w:lang w:val="fr-FR"/>
              </w:rPr>
              <w:t>Probabilité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7F51B4" w:rsidP="007F51B4">
            <w:pPr>
              <w:jc w:val="center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>
              <w:rPr>
                <w:rFonts w:ascii="Arial Bold" w:hAnsi="Arial Bold"/>
                <w:b/>
                <w:color w:val="FFFFFF" w:themeColor="background1"/>
                <w:lang w:val="fr-FR"/>
              </w:rPr>
              <w:t>Né</w:t>
            </w:r>
            <w:r w:rsidR="000C1640" w:rsidRPr="0025561C">
              <w:rPr>
                <w:rFonts w:ascii="Arial Bold" w:hAnsi="Arial Bold"/>
                <w:b/>
                <w:color w:val="FFFFFF" w:themeColor="background1"/>
                <w:lang w:val="fr-FR"/>
              </w:rPr>
              <w:t>glig</w:t>
            </w:r>
            <w:r>
              <w:rPr>
                <w:rFonts w:ascii="Arial Bold" w:hAnsi="Arial Bold"/>
                <w:b/>
                <w:color w:val="FFFFFF" w:themeColor="background1"/>
                <w:lang w:val="fr-FR"/>
              </w:rPr>
              <w:t>eable</w:t>
            </w:r>
            <w:r w:rsidR="000C1640" w:rsidRPr="0025561C">
              <w:rPr>
                <w:rFonts w:ascii="Arial Bold" w:hAnsi="Arial Bold"/>
                <w:b/>
                <w:color w:val="FFFFFF" w:themeColor="background1"/>
                <w:lang w:val="fr-FR"/>
              </w:rPr>
              <w:br/>
              <w:t>(1)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7F51B4" w:rsidP="00020F03">
            <w:pPr>
              <w:jc w:val="center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>
              <w:rPr>
                <w:rFonts w:ascii="Arial Bold" w:hAnsi="Arial Bold"/>
                <w:b/>
                <w:color w:val="FFFFFF" w:themeColor="background1"/>
                <w:lang w:val="fr-FR"/>
              </w:rPr>
              <w:t>Mineur</w:t>
            </w:r>
            <w:r w:rsidR="000C1640" w:rsidRPr="0025561C">
              <w:rPr>
                <w:rFonts w:ascii="Arial Bold" w:hAnsi="Arial Bold"/>
                <w:b/>
                <w:color w:val="FFFFFF" w:themeColor="background1"/>
                <w:lang w:val="fr-FR"/>
              </w:rPr>
              <w:br/>
              <w:t>(2)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7F51B4" w:rsidP="007F51B4">
            <w:pPr>
              <w:jc w:val="center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>
              <w:rPr>
                <w:rFonts w:ascii="Arial Bold" w:hAnsi="Arial Bold"/>
                <w:b/>
                <w:color w:val="FFFFFF" w:themeColor="background1"/>
                <w:lang w:val="fr-FR"/>
              </w:rPr>
              <w:t>Modéré</w:t>
            </w:r>
            <w:r w:rsidR="000C1640" w:rsidRPr="0025561C">
              <w:rPr>
                <w:rFonts w:ascii="Arial Bold" w:hAnsi="Arial Bold"/>
                <w:b/>
                <w:color w:val="FFFFFF" w:themeColor="background1"/>
                <w:lang w:val="fr-FR"/>
              </w:rPr>
              <w:br/>
              <w:t>(3)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406C2B" w:rsidP="00020F03">
            <w:pPr>
              <w:jc w:val="center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>
              <w:rPr>
                <w:rFonts w:ascii="Arial Bold" w:hAnsi="Arial Bold"/>
                <w:b/>
                <w:color w:val="FFFFFF" w:themeColor="background1"/>
                <w:lang w:val="fr-FR"/>
              </w:rPr>
              <w:t>Majeur</w:t>
            </w:r>
            <w:r w:rsidR="000C1640" w:rsidRPr="0025561C">
              <w:rPr>
                <w:rFonts w:ascii="Arial Bold" w:hAnsi="Arial Bold"/>
                <w:b/>
                <w:color w:val="FFFFFF" w:themeColor="background1"/>
                <w:lang w:val="fr-FR"/>
              </w:rPr>
              <w:br/>
              <w:t>(4)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7F51B4" w:rsidP="007F51B4">
            <w:pPr>
              <w:jc w:val="center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>
              <w:rPr>
                <w:rFonts w:ascii="Arial Bold" w:hAnsi="Arial Bold"/>
                <w:b/>
                <w:color w:val="FFFFFF" w:themeColor="background1"/>
                <w:lang w:val="fr-FR"/>
              </w:rPr>
              <w:t>Critique</w:t>
            </w:r>
            <w:r w:rsidR="000C1640" w:rsidRPr="0025561C">
              <w:rPr>
                <w:rFonts w:ascii="Arial Bold" w:hAnsi="Arial Bold"/>
                <w:b/>
                <w:color w:val="FFFFFF" w:themeColor="background1"/>
                <w:lang w:val="fr-FR"/>
              </w:rPr>
              <w:br/>
              <w:t>(5)</w:t>
            </w:r>
          </w:p>
        </w:tc>
      </w:tr>
      <w:tr w:rsidR="00020F03" w:rsidRPr="0025561C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7F51B4" w:rsidP="00020F03">
            <w:pPr>
              <w:rPr>
                <w:lang w:val="fr-FR"/>
              </w:rPr>
            </w:pPr>
            <w:r>
              <w:rPr>
                <w:lang w:val="fr-FR"/>
              </w:rPr>
              <w:t>Très peu probable</w:t>
            </w:r>
            <w:r w:rsidR="000C1640" w:rsidRPr="0025561C">
              <w:rPr>
                <w:lang w:val="fr-FR"/>
              </w:rPr>
              <w:t xml:space="preserve"> (1)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1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2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3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4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5</w:t>
            </w:r>
          </w:p>
        </w:tc>
      </w:tr>
      <w:tr w:rsidR="00020F03" w:rsidRPr="0025561C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7F51B4" w:rsidP="00020F03">
            <w:pPr>
              <w:rPr>
                <w:lang w:val="fr-FR"/>
              </w:rPr>
            </w:pPr>
            <w:r>
              <w:rPr>
                <w:lang w:val="fr-FR"/>
              </w:rPr>
              <w:t>Peu probable</w:t>
            </w:r>
            <w:r w:rsidR="000C1640" w:rsidRPr="0025561C">
              <w:rPr>
                <w:lang w:val="fr-FR"/>
              </w:rPr>
              <w:t xml:space="preserve"> (2)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2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4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6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8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10</w:t>
            </w:r>
          </w:p>
        </w:tc>
      </w:tr>
      <w:tr w:rsidR="00020F03" w:rsidRPr="0025561C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7F51B4" w:rsidP="00020F03">
            <w:pPr>
              <w:rPr>
                <w:lang w:val="fr-FR"/>
              </w:rPr>
            </w:pPr>
            <w:r>
              <w:rPr>
                <w:lang w:val="fr-FR"/>
              </w:rPr>
              <w:t>Plus ou moins probable</w:t>
            </w:r>
            <w:r w:rsidR="000C1640" w:rsidRPr="0025561C">
              <w:rPr>
                <w:lang w:val="fr-FR"/>
              </w:rPr>
              <w:t xml:space="preserve"> (3)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3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6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9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12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15</w:t>
            </w:r>
          </w:p>
        </w:tc>
      </w:tr>
      <w:tr w:rsidR="00020F03" w:rsidRPr="0025561C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7F51B4" w:rsidP="00020F03">
            <w:pPr>
              <w:rPr>
                <w:lang w:val="fr-FR"/>
              </w:rPr>
            </w:pPr>
            <w:r>
              <w:rPr>
                <w:lang w:val="fr-FR"/>
              </w:rPr>
              <w:t xml:space="preserve">Probable </w:t>
            </w:r>
            <w:r w:rsidR="000C1640" w:rsidRPr="0025561C">
              <w:rPr>
                <w:lang w:val="fr-FR"/>
              </w:rPr>
              <w:t>(4)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4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8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12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16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20</w:t>
            </w:r>
          </w:p>
        </w:tc>
      </w:tr>
      <w:tr w:rsidR="00020F03" w:rsidRPr="0025561C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7F51B4" w:rsidP="00020F03">
            <w:pPr>
              <w:rPr>
                <w:lang w:val="fr-FR"/>
              </w:rPr>
            </w:pPr>
            <w:r>
              <w:rPr>
                <w:lang w:val="fr-FR"/>
              </w:rPr>
              <w:t>Très probable</w:t>
            </w:r>
            <w:r w:rsidR="000C1640" w:rsidRPr="0025561C">
              <w:rPr>
                <w:lang w:val="fr-FR"/>
              </w:rPr>
              <w:t xml:space="preserve"> (5)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5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10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15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20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020F03" w:rsidRPr="0025561C" w:rsidRDefault="000C1640" w:rsidP="00020F03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25</w:t>
            </w:r>
          </w:p>
        </w:tc>
      </w:tr>
    </w:tbl>
    <w:p w:rsidR="00020F03" w:rsidRPr="0025561C" w:rsidRDefault="00406C2B" w:rsidP="00020F03">
      <w:pPr>
        <w:spacing w:before="120"/>
        <w:jc w:val="right"/>
        <w:rPr>
          <w:lang w:val="fr-FR"/>
        </w:rPr>
      </w:pPr>
      <w:r>
        <w:rPr>
          <w:lang w:val="fr-FR"/>
        </w:rPr>
        <w:t>Importance</w:t>
      </w:r>
      <w:r w:rsidR="007F51B4">
        <w:rPr>
          <w:lang w:val="fr-FR"/>
        </w:rPr>
        <w:t xml:space="preserve"> = l’i</w:t>
      </w:r>
      <w:r w:rsidR="000C1640" w:rsidRPr="0025561C">
        <w:rPr>
          <w:lang w:val="fr-FR"/>
        </w:rPr>
        <w:t xml:space="preserve">mpact x </w:t>
      </w:r>
      <w:r w:rsidR="007F51B4">
        <w:rPr>
          <w:lang w:val="fr-FR"/>
        </w:rPr>
        <w:t>la probabilité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3"/>
        <w:gridCol w:w="1114"/>
        <w:gridCol w:w="1114"/>
      </w:tblGrid>
      <w:tr w:rsidR="00020F03" w:rsidRPr="0025561C" w:rsidTr="00895850">
        <w:trPr>
          <w:trHeight w:val="461"/>
          <w:jc w:val="right"/>
        </w:trPr>
        <w:tc>
          <w:tcPr>
            <w:tcW w:w="1113" w:type="dxa"/>
            <w:tcBorders>
              <w:top w:val="single" w:sz="8" w:space="0" w:color="000000"/>
              <w:left w:val="single" w:sz="8" w:space="0" w:color="595959"/>
              <w:bottom w:val="single" w:sz="8" w:space="0" w:color="000000"/>
              <w:right w:val="single" w:sz="8" w:space="0" w:color="000000"/>
            </w:tcBorders>
            <w:shd w:val="clear" w:color="auto" w:fill="D0EE6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0F03" w:rsidRPr="0025561C" w:rsidRDefault="007F51B4" w:rsidP="00020F0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Faible</w:t>
            </w:r>
            <w:r w:rsidR="000C1640" w:rsidRPr="0025561C">
              <w:rPr>
                <w:lang w:val="fr-FR"/>
              </w:rPr>
              <w:br/>
              <w:t>1-7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0F03" w:rsidRPr="0025561C" w:rsidRDefault="000C1640" w:rsidP="007F51B4">
            <w:pPr>
              <w:jc w:val="center"/>
              <w:rPr>
                <w:lang w:val="fr-FR"/>
              </w:rPr>
            </w:pPr>
            <w:r w:rsidRPr="0025561C">
              <w:rPr>
                <w:lang w:val="fr-FR"/>
              </w:rPr>
              <w:t>M</w:t>
            </w:r>
            <w:r w:rsidR="007F51B4">
              <w:rPr>
                <w:lang w:val="fr-FR"/>
              </w:rPr>
              <w:t>oyen</w:t>
            </w:r>
            <w:r w:rsidR="002B371B">
              <w:rPr>
                <w:lang w:val="fr-FR"/>
              </w:rPr>
              <w:t>ne</w:t>
            </w:r>
            <w:r w:rsidRPr="0025561C">
              <w:rPr>
                <w:lang w:val="fr-FR"/>
              </w:rPr>
              <w:br/>
              <w:t>8-14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0F03" w:rsidRPr="0025561C" w:rsidRDefault="007F51B4" w:rsidP="00020F0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Élevé</w:t>
            </w:r>
            <w:r w:rsidR="002B371B">
              <w:rPr>
                <w:lang w:val="fr-FR"/>
              </w:rPr>
              <w:t>e</w:t>
            </w:r>
            <w:bookmarkStart w:id="0" w:name="_GoBack"/>
            <w:bookmarkEnd w:id="0"/>
            <w:r w:rsidR="000C1640" w:rsidRPr="0025561C">
              <w:rPr>
                <w:lang w:val="fr-FR"/>
              </w:rPr>
              <w:br/>
              <w:t>15-25</w:t>
            </w:r>
          </w:p>
        </w:tc>
      </w:tr>
    </w:tbl>
    <w:p w:rsidR="00020F03" w:rsidRPr="0025561C" w:rsidRDefault="00C9659F" w:rsidP="00BD3441">
      <w:pPr>
        <w:pStyle w:val="Heading2"/>
        <w:rPr>
          <w:lang w:val="fr-FR"/>
        </w:rPr>
      </w:pPr>
      <w:r>
        <w:rPr>
          <w:lang w:val="fr-FR"/>
        </w:rPr>
        <w:t>DÉ</w:t>
      </w:r>
      <w:r w:rsidR="00720E69">
        <w:rPr>
          <w:lang w:val="fr-FR"/>
        </w:rPr>
        <w:t>finition d</w:t>
      </w:r>
      <w:r>
        <w:rPr>
          <w:lang w:val="fr-FR"/>
        </w:rPr>
        <w:t xml:space="preserve">es </w:t>
      </w:r>
      <w:r w:rsidR="00ED7C64">
        <w:rPr>
          <w:lang w:val="fr-FR"/>
        </w:rPr>
        <w:t xml:space="preserve">mesures </w:t>
      </w:r>
      <w:r w:rsidR="00BD3441">
        <w:rPr>
          <w:lang w:val="fr-FR"/>
        </w:rPr>
        <w:t>À prendre</w:t>
      </w:r>
    </w:p>
    <w:p w:rsidR="00C9659F" w:rsidRDefault="00047954" w:rsidP="008E0861">
      <w:pPr>
        <w:rPr>
          <w:lang w:val="fr-FR"/>
        </w:rPr>
      </w:pPr>
      <w:r>
        <w:rPr>
          <w:lang w:val="fr-FR"/>
        </w:rPr>
        <w:t xml:space="preserve">Les mesures </w:t>
      </w:r>
      <w:r w:rsidR="004F552C">
        <w:rPr>
          <w:lang w:val="fr-FR"/>
        </w:rPr>
        <w:t xml:space="preserve">à prendre </w:t>
      </w:r>
      <w:r w:rsidR="00ED7C64">
        <w:rPr>
          <w:lang w:val="fr-FR"/>
        </w:rPr>
        <w:t>dépendr</w:t>
      </w:r>
      <w:r>
        <w:rPr>
          <w:lang w:val="fr-FR"/>
        </w:rPr>
        <w:t>ont</w:t>
      </w:r>
      <w:r w:rsidR="00C9659F">
        <w:rPr>
          <w:lang w:val="fr-FR"/>
        </w:rPr>
        <w:t xml:space="preserve"> des risques que l’organisation est prête à </w:t>
      </w:r>
      <w:r w:rsidR="004F552C">
        <w:rPr>
          <w:lang w:val="fr-FR"/>
        </w:rPr>
        <w:t>assumer</w:t>
      </w:r>
      <w:r w:rsidR="00C9659F">
        <w:rPr>
          <w:lang w:val="fr-FR"/>
        </w:rPr>
        <w:t xml:space="preserve">. Les risques dont </w:t>
      </w:r>
      <w:r w:rsidR="004F552C">
        <w:rPr>
          <w:lang w:val="fr-FR"/>
        </w:rPr>
        <w:t>l’impact est faible (en vert) seront généralement accept</w:t>
      </w:r>
      <w:r w:rsidR="008E0861">
        <w:rPr>
          <w:lang w:val="fr-FR"/>
        </w:rPr>
        <w:t>é</w:t>
      </w:r>
      <w:r w:rsidR="004F552C">
        <w:rPr>
          <w:lang w:val="fr-FR"/>
        </w:rPr>
        <w:t>s</w:t>
      </w:r>
      <w:r w:rsidR="00720E69">
        <w:rPr>
          <w:lang w:val="fr-FR"/>
        </w:rPr>
        <w:t xml:space="preserve"> ou </w:t>
      </w:r>
      <w:r w:rsidR="00C9659F">
        <w:rPr>
          <w:lang w:val="fr-FR"/>
        </w:rPr>
        <w:t>exige</w:t>
      </w:r>
      <w:r w:rsidR="00ED7C64">
        <w:rPr>
          <w:lang w:val="fr-FR"/>
        </w:rPr>
        <w:t>ro</w:t>
      </w:r>
      <w:r w:rsidR="00C9659F">
        <w:rPr>
          <w:lang w:val="fr-FR"/>
        </w:rPr>
        <w:t xml:space="preserve">nt </w:t>
      </w:r>
      <w:r w:rsidR="00720E69">
        <w:rPr>
          <w:lang w:val="fr-FR"/>
        </w:rPr>
        <w:t>des mesures de réduction</w:t>
      </w:r>
      <w:r w:rsidR="00C9659F">
        <w:rPr>
          <w:lang w:val="fr-FR"/>
        </w:rPr>
        <w:t xml:space="preserve"> minimale</w:t>
      </w:r>
      <w:r w:rsidR="00720E69">
        <w:rPr>
          <w:lang w:val="fr-FR"/>
        </w:rPr>
        <w:t>s</w:t>
      </w:r>
      <w:r w:rsidR="00C9659F">
        <w:rPr>
          <w:lang w:val="fr-FR"/>
        </w:rPr>
        <w:t xml:space="preserve">. Les risques dont </w:t>
      </w:r>
      <w:r w:rsidR="004F552C">
        <w:rPr>
          <w:lang w:val="fr-FR"/>
        </w:rPr>
        <w:t>l’impact</w:t>
      </w:r>
      <w:r w:rsidR="008E0861">
        <w:rPr>
          <w:lang w:val="fr-FR"/>
        </w:rPr>
        <w:t xml:space="preserve"> est modéré</w:t>
      </w:r>
      <w:r w:rsidR="00C9659F">
        <w:rPr>
          <w:lang w:val="fr-FR"/>
        </w:rPr>
        <w:t xml:space="preserve"> (en orange) seront généralement réduits. Les risques dont </w:t>
      </w:r>
      <w:r w:rsidR="008E0861">
        <w:rPr>
          <w:lang w:val="fr-FR"/>
        </w:rPr>
        <w:t>l’impact est majeur</w:t>
      </w:r>
      <w:r w:rsidR="00C9659F">
        <w:rPr>
          <w:lang w:val="fr-FR"/>
        </w:rPr>
        <w:t xml:space="preserve"> (en rouge) exigeront d’importantes mesures de réduction ou seront évités. Tous les risques, indépendamment de leur </w:t>
      </w:r>
      <w:r w:rsidR="008E0861">
        <w:rPr>
          <w:lang w:val="fr-FR"/>
        </w:rPr>
        <w:t>importance</w:t>
      </w:r>
      <w:r w:rsidR="00C9659F">
        <w:rPr>
          <w:lang w:val="fr-FR"/>
        </w:rPr>
        <w:t xml:space="preserve">, doivent être surveillés tout au long de la mise en œuvre du programme. </w:t>
      </w:r>
    </w:p>
    <w:p w:rsidR="00C9659F" w:rsidRDefault="00C9659F" w:rsidP="008E0861">
      <w:pPr>
        <w:rPr>
          <w:lang w:val="fr-FR"/>
        </w:rPr>
      </w:pPr>
      <w:r>
        <w:rPr>
          <w:lang w:val="fr-FR"/>
        </w:rPr>
        <w:t xml:space="preserve">Vous devez déterminer s’il est possible de mettre en place des mesures </w:t>
      </w:r>
      <w:r w:rsidR="008E0861">
        <w:rPr>
          <w:lang w:val="fr-FR"/>
        </w:rPr>
        <w:t xml:space="preserve">pour </w:t>
      </w:r>
      <w:r>
        <w:rPr>
          <w:lang w:val="fr-FR"/>
        </w:rPr>
        <w:t>rédu</w:t>
      </w:r>
      <w:r w:rsidR="008E0861">
        <w:rPr>
          <w:lang w:val="fr-FR"/>
        </w:rPr>
        <w:t xml:space="preserve">ire les </w:t>
      </w:r>
      <w:r w:rsidR="00720E69">
        <w:rPr>
          <w:lang w:val="fr-FR"/>
        </w:rPr>
        <w:t>risques</w:t>
      </w:r>
      <w:r w:rsidR="008E0861">
        <w:rPr>
          <w:lang w:val="fr-FR"/>
        </w:rPr>
        <w:t xml:space="preserve"> à un niveau</w:t>
      </w:r>
      <w:r w:rsidR="00720E69">
        <w:rPr>
          <w:lang w:val="fr-FR"/>
        </w:rPr>
        <w:t xml:space="preserve"> </w:t>
      </w:r>
      <w:r w:rsidR="008E0861">
        <w:rPr>
          <w:lang w:val="fr-FR"/>
        </w:rPr>
        <w:t>acceptable</w:t>
      </w:r>
      <w:r>
        <w:rPr>
          <w:lang w:val="fr-FR"/>
        </w:rPr>
        <w:t>. Vous pouvez décid</w:t>
      </w:r>
      <w:r w:rsidR="008E0861">
        <w:rPr>
          <w:lang w:val="fr-FR"/>
        </w:rPr>
        <w:t xml:space="preserve">er de transférer les risques (par </w:t>
      </w:r>
      <w:r>
        <w:rPr>
          <w:lang w:val="fr-FR"/>
        </w:rPr>
        <w:t xml:space="preserve">ex. en </w:t>
      </w:r>
      <w:r w:rsidR="008E0861">
        <w:rPr>
          <w:lang w:val="fr-FR"/>
        </w:rPr>
        <w:t xml:space="preserve">contractant une </w:t>
      </w:r>
      <w:r>
        <w:rPr>
          <w:lang w:val="fr-FR"/>
        </w:rPr>
        <w:t>assurance ou en</w:t>
      </w:r>
      <w:r w:rsidR="00720E69">
        <w:rPr>
          <w:lang w:val="fr-FR"/>
        </w:rPr>
        <w:t xml:space="preserve"> choisissant</w:t>
      </w:r>
      <w:r>
        <w:rPr>
          <w:lang w:val="fr-FR"/>
        </w:rPr>
        <w:t xml:space="preserve"> des partenaires qui garantissent un risque </w:t>
      </w:r>
      <w:r w:rsidR="00720E69">
        <w:rPr>
          <w:lang w:val="fr-FR"/>
        </w:rPr>
        <w:t>moindre</w:t>
      </w:r>
      <w:r>
        <w:rPr>
          <w:lang w:val="fr-FR"/>
        </w:rPr>
        <w:t xml:space="preserve">). Si </w:t>
      </w:r>
      <w:r w:rsidR="00720E69">
        <w:rPr>
          <w:lang w:val="fr-FR"/>
        </w:rPr>
        <w:t>rien de cela</w:t>
      </w:r>
      <w:r>
        <w:rPr>
          <w:lang w:val="fr-FR"/>
        </w:rPr>
        <w:t xml:space="preserve"> </w:t>
      </w:r>
      <w:r w:rsidR="00720E69">
        <w:rPr>
          <w:lang w:val="fr-FR"/>
        </w:rPr>
        <w:t xml:space="preserve">n’est </w:t>
      </w:r>
      <w:r>
        <w:rPr>
          <w:lang w:val="fr-FR"/>
        </w:rPr>
        <w:t xml:space="preserve">possible, il est préférable d’éviter </w:t>
      </w:r>
      <w:r w:rsidR="00C25740">
        <w:rPr>
          <w:lang w:val="fr-FR"/>
        </w:rPr>
        <w:t>tout risque</w:t>
      </w:r>
      <w:r>
        <w:rPr>
          <w:lang w:val="fr-FR"/>
        </w:rPr>
        <w:t xml:space="preserve"> et de </w:t>
      </w:r>
      <w:r w:rsidR="00C25740">
        <w:rPr>
          <w:lang w:val="fr-FR"/>
        </w:rPr>
        <w:t>recourir à d’autres solutions.</w:t>
      </w:r>
    </w:p>
    <w:p w:rsidR="001B6583" w:rsidRPr="0025561C" w:rsidRDefault="00C25740" w:rsidP="008E0861">
      <w:pPr>
        <w:rPr>
          <w:lang w:val="fr-FR"/>
        </w:rPr>
      </w:pPr>
      <w:r>
        <w:rPr>
          <w:lang w:val="fr-FR"/>
        </w:rPr>
        <w:t>Les mesures de réduction des risques doivent s’attaquer en premier lieu aux causes des risques. Plus d’une mesure peut être envisagée pour chaque risque. Le tableau ci-</w:t>
      </w:r>
      <w:r w:rsidR="008E0861">
        <w:rPr>
          <w:lang w:val="fr-FR"/>
        </w:rPr>
        <w:t>aprè</w:t>
      </w:r>
      <w:r>
        <w:rPr>
          <w:lang w:val="fr-FR"/>
        </w:rPr>
        <w:t>s décrit un certain nombre de risques liés aux marchés et de mesures potentielles de réduction de</w:t>
      </w:r>
      <w:r w:rsidR="008E0861">
        <w:rPr>
          <w:lang w:val="fr-FR"/>
        </w:rPr>
        <w:t xml:space="preserve"> ce</w:t>
      </w:r>
      <w:r>
        <w:rPr>
          <w:lang w:val="fr-FR"/>
        </w:rPr>
        <w:t>s risques.</w:t>
      </w:r>
    </w:p>
    <w:sectPr w:rsidR="001B6583" w:rsidRPr="0025561C" w:rsidSect="002114F3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40" w:rsidRDefault="00CA2D40" w:rsidP="001B6583">
      <w:pPr>
        <w:spacing w:after="0"/>
      </w:pPr>
      <w:r>
        <w:separator/>
      </w:r>
    </w:p>
  </w:endnote>
  <w:endnote w:type="continuationSeparator" w:id="0">
    <w:p w:rsidR="00CA2D40" w:rsidRDefault="00CA2D40" w:rsidP="001B6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E7" w:rsidRDefault="009411F5" w:rsidP="001B65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23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3E7" w:rsidRDefault="001923E7" w:rsidP="001B65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DD" w:rsidRPr="00B45C74" w:rsidRDefault="009411F5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4026DD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B371B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4026DD" w:rsidRPr="007F51B4" w:rsidRDefault="004026DD" w:rsidP="00ED1B2B">
    <w:pPr>
      <w:pStyle w:val="Footer"/>
      <w:rPr>
        <w:lang w:val="fr-FR"/>
      </w:rPr>
    </w:pPr>
    <w:r w:rsidRPr="007F51B4">
      <w:rPr>
        <w:b/>
        <w:lang w:val="fr-FR"/>
      </w:rPr>
      <w:t>Module 1.</w:t>
    </w:r>
    <w:r w:rsidRPr="007F51B4">
      <w:rPr>
        <w:lang w:val="fr-FR"/>
      </w:rPr>
      <w:t xml:space="preserve"> </w:t>
    </w:r>
    <w:r w:rsidR="0025561C" w:rsidRPr="007F51B4">
      <w:rPr>
        <w:lang w:val="fr-FR"/>
      </w:rPr>
      <w:t>Étape</w:t>
    </w:r>
    <w:r w:rsidRPr="007F51B4">
      <w:rPr>
        <w:lang w:val="fr-FR"/>
      </w:rPr>
      <w:t xml:space="preserve"> </w:t>
    </w:r>
    <w:r w:rsidR="00D73D35" w:rsidRPr="007F51B4">
      <w:rPr>
        <w:lang w:val="fr-FR"/>
      </w:rPr>
      <w:t>1</w:t>
    </w:r>
    <w:r w:rsidRPr="007F51B4">
      <w:rPr>
        <w:lang w:val="fr-FR"/>
      </w:rPr>
      <w:t xml:space="preserve">. </w:t>
    </w:r>
    <w:r w:rsidR="0025561C" w:rsidRPr="007F51B4">
      <w:rPr>
        <w:lang w:val="fr-FR"/>
      </w:rPr>
      <w:t>Étape subsidiaire</w:t>
    </w:r>
    <w:r w:rsidRPr="007F51B4">
      <w:rPr>
        <w:lang w:val="fr-FR"/>
      </w:rPr>
      <w:t xml:space="preserve"> </w:t>
    </w:r>
    <w:r w:rsidR="00D73D35" w:rsidRPr="007F51B4">
      <w:rPr>
        <w:lang w:val="fr-FR"/>
      </w:rPr>
      <w:t>2</w:t>
    </w:r>
    <w:r w:rsidRPr="007F51B4">
      <w:rPr>
        <w:lang w:val="fr-FR"/>
      </w:rPr>
      <w:t xml:space="preserve">. </w:t>
    </w:r>
    <w:r w:rsidR="002B371B">
      <w:fldChar w:fldCharType="begin"/>
    </w:r>
    <w:r w:rsidR="002B371B">
      <w:instrText xml:space="preserve"> STYLEREF  H1 \t  \* MERGEFORMAT </w:instrText>
    </w:r>
    <w:r w:rsidR="002B371B">
      <w:fldChar w:fldCharType="separate"/>
    </w:r>
    <w:r w:rsidR="002B371B" w:rsidRPr="002B371B">
      <w:rPr>
        <w:noProof/>
        <w:lang w:val="fr-FR"/>
      </w:rPr>
      <w:t>Feuille de route pour l’analyse des risques liés aux PTM</w:t>
    </w:r>
    <w:r w:rsidR="002B371B">
      <w:rPr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40" w:rsidRDefault="00CA2D40" w:rsidP="001B6583">
      <w:pPr>
        <w:spacing w:after="0"/>
      </w:pPr>
      <w:r>
        <w:separator/>
      </w:r>
    </w:p>
  </w:footnote>
  <w:footnote w:type="continuationSeparator" w:id="0">
    <w:p w:rsidR="00CA2D40" w:rsidRDefault="00CA2D40" w:rsidP="001B6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DD" w:rsidRPr="0025561C" w:rsidRDefault="0025561C" w:rsidP="00992737">
    <w:pPr>
      <w:pStyle w:val="Header"/>
      <w:rPr>
        <w:sz w:val="14"/>
        <w:szCs w:val="14"/>
        <w:lang w:val="fr-FR"/>
      </w:rPr>
    </w:pPr>
    <w:r>
      <w:rPr>
        <w:rStyle w:val="Pantone485"/>
        <w:sz w:val="14"/>
        <w:szCs w:val="14"/>
        <w:lang w:val="fr-FR"/>
      </w:rPr>
      <w:t>Mouvement international de la Croix-Rouge et du Croissant-Rouge</w:t>
    </w:r>
    <w:r w:rsidR="004026DD" w:rsidRPr="0025561C">
      <w:rPr>
        <w:rFonts w:cs="Caecilia-Light"/>
        <w:color w:val="FF0000"/>
        <w:sz w:val="14"/>
        <w:szCs w:val="14"/>
        <w:lang w:val="fr-FR"/>
      </w:rPr>
      <w:t xml:space="preserve"> </w:t>
    </w:r>
    <w:r w:rsidR="004026DD" w:rsidRPr="0025561C">
      <w:rPr>
        <w:rStyle w:val="PageNumber"/>
        <w:bCs/>
        <w:sz w:val="14"/>
        <w:szCs w:val="14"/>
        <w:lang w:val="fr-FR"/>
      </w:rPr>
      <w:t>I</w:t>
    </w:r>
    <w:r w:rsidR="004026DD" w:rsidRPr="0025561C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992737">
      <w:rPr>
        <w:b/>
        <w:sz w:val="14"/>
        <w:szCs w:val="14"/>
        <w:lang w:val="fr-FR"/>
      </w:rPr>
      <w:t>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0461F"/>
    <w:multiLevelType w:val="hybridMultilevel"/>
    <w:tmpl w:val="630C275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DCC139D"/>
    <w:multiLevelType w:val="hybridMultilevel"/>
    <w:tmpl w:val="9B14FA1A"/>
    <w:lvl w:ilvl="0" w:tplc="5964B292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8"/>
  </w:num>
  <w:num w:numId="4">
    <w:abstractNumId w:val="36"/>
  </w:num>
  <w:num w:numId="5">
    <w:abstractNumId w:val="25"/>
  </w:num>
  <w:num w:numId="6">
    <w:abstractNumId w:val="33"/>
  </w:num>
  <w:num w:numId="7">
    <w:abstractNumId w:val="15"/>
  </w:num>
  <w:num w:numId="8">
    <w:abstractNumId w:val="27"/>
  </w:num>
  <w:num w:numId="9">
    <w:abstractNumId w:val="42"/>
  </w:num>
  <w:num w:numId="10">
    <w:abstractNumId w:val="26"/>
  </w:num>
  <w:num w:numId="11">
    <w:abstractNumId w:val="31"/>
  </w:num>
  <w:num w:numId="12">
    <w:abstractNumId w:val="20"/>
  </w:num>
  <w:num w:numId="13">
    <w:abstractNumId w:val="44"/>
  </w:num>
  <w:num w:numId="14">
    <w:abstractNumId w:val="35"/>
  </w:num>
  <w:num w:numId="15">
    <w:abstractNumId w:val="39"/>
  </w:num>
  <w:num w:numId="16">
    <w:abstractNumId w:val="41"/>
  </w:num>
  <w:num w:numId="17">
    <w:abstractNumId w:val="40"/>
  </w:num>
  <w:num w:numId="18">
    <w:abstractNumId w:val="14"/>
  </w:num>
  <w:num w:numId="19">
    <w:abstractNumId w:val="13"/>
  </w:num>
  <w:num w:numId="20">
    <w:abstractNumId w:val="43"/>
  </w:num>
  <w:num w:numId="21">
    <w:abstractNumId w:val="30"/>
  </w:num>
  <w:num w:numId="22">
    <w:abstractNumId w:val="21"/>
  </w:num>
  <w:num w:numId="23">
    <w:abstractNumId w:val="16"/>
  </w:num>
  <w:num w:numId="24">
    <w:abstractNumId w:val="23"/>
  </w:num>
  <w:num w:numId="25">
    <w:abstractNumId w:val="28"/>
  </w:num>
  <w:num w:numId="26">
    <w:abstractNumId w:val="19"/>
  </w:num>
  <w:num w:numId="27">
    <w:abstractNumId w:val="17"/>
  </w:num>
  <w:num w:numId="28">
    <w:abstractNumId w:val="24"/>
  </w:num>
  <w:num w:numId="29">
    <w:abstractNumId w:val="45"/>
  </w:num>
  <w:num w:numId="30">
    <w:abstractNumId w:val="10"/>
  </w:num>
  <w:num w:numId="31">
    <w:abstractNumId w:val="29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32"/>
  </w:num>
  <w:num w:numId="45">
    <w:abstractNumId w:val="38"/>
  </w:num>
  <w:num w:numId="46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F03"/>
    <w:rsid w:val="00020F03"/>
    <w:rsid w:val="00040847"/>
    <w:rsid w:val="00047954"/>
    <w:rsid w:val="000A378D"/>
    <w:rsid w:val="000C1640"/>
    <w:rsid w:val="001032B5"/>
    <w:rsid w:val="0015617D"/>
    <w:rsid w:val="001923E7"/>
    <w:rsid w:val="001B6583"/>
    <w:rsid w:val="001F5BE0"/>
    <w:rsid w:val="002018DA"/>
    <w:rsid w:val="00203EED"/>
    <w:rsid w:val="002114F3"/>
    <w:rsid w:val="00237C52"/>
    <w:rsid w:val="0025561C"/>
    <w:rsid w:val="002575BA"/>
    <w:rsid w:val="00282B27"/>
    <w:rsid w:val="002B371B"/>
    <w:rsid w:val="002E460F"/>
    <w:rsid w:val="003F4751"/>
    <w:rsid w:val="004026DD"/>
    <w:rsid w:val="00406C2B"/>
    <w:rsid w:val="0045304E"/>
    <w:rsid w:val="00454FE4"/>
    <w:rsid w:val="00467163"/>
    <w:rsid w:val="0048737A"/>
    <w:rsid w:val="004B59A2"/>
    <w:rsid w:val="004C6A4A"/>
    <w:rsid w:val="004F552C"/>
    <w:rsid w:val="00505682"/>
    <w:rsid w:val="00546681"/>
    <w:rsid w:val="00551FC9"/>
    <w:rsid w:val="005526AA"/>
    <w:rsid w:val="00563AC6"/>
    <w:rsid w:val="005823B9"/>
    <w:rsid w:val="005A33A9"/>
    <w:rsid w:val="005A384C"/>
    <w:rsid w:val="005C583A"/>
    <w:rsid w:val="005F381A"/>
    <w:rsid w:val="00611552"/>
    <w:rsid w:val="00615193"/>
    <w:rsid w:val="006526FE"/>
    <w:rsid w:val="006C15E3"/>
    <w:rsid w:val="006C6D7C"/>
    <w:rsid w:val="006E1846"/>
    <w:rsid w:val="006E5A41"/>
    <w:rsid w:val="006E788F"/>
    <w:rsid w:val="00720E69"/>
    <w:rsid w:val="00750F3B"/>
    <w:rsid w:val="00755A16"/>
    <w:rsid w:val="00795BC2"/>
    <w:rsid w:val="007B1EDB"/>
    <w:rsid w:val="007F51B4"/>
    <w:rsid w:val="008112C7"/>
    <w:rsid w:val="00895850"/>
    <w:rsid w:val="00897C4D"/>
    <w:rsid w:val="008E008C"/>
    <w:rsid w:val="008E0861"/>
    <w:rsid w:val="008F1D52"/>
    <w:rsid w:val="00912AF7"/>
    <w:rsid w:val="009411F5"/>
    <w:rsid w:val="009866F5"/>
    <w:rsid w:val="00992737"/>
    <w:rsid w:val="00992E62"/>
    <w:rsid w:val="009F0A2C"/>
    <w:rsid w:val="00A127EA"/>
    <w:rsid w:val="00A17251"/>
    <w:rsid w:val="00AA5FC2"/>
    <w:rsid w:val="00AC3A2D"/>
    <w:rsid w:val="00AF72A5"/>
    <w:rsid w:val="00B413A2"/>
    <w:rsid w:val="00B64B25"/>
    <w:rsid w:val="00B70932"/>
    <w:rsid w:val="00BB10DD"/>
    <w:rsid w:val="00BB192A"/>
    <w:rsid w:val="00BD3441"/>
    <w:rsid w:val="00C25740"/>
    <w:rsid w:val="00C46A52"/>
    <w:rsid w:val="00C742A6"/>
    <w:rsid w:val="00C83DD0"/>
    <w:rsid w:val="00C9659F"/>
    <w:rsid w:val="00CA2D40"/>
    <w:rsid w:val="00CC606F"/>
    <w:rsid w:val="00CE09C3"/>
    <w:rsid w:val="00CE3CC1"/>
    <w:rsid w:val="00D73D35"/>
    <w:rsid w:val="00D92A3D"/>
    <w:rsid w:val="00E36F6E"/>
    <w:rsid w:val="00EB76A6"/>
    <w:rsid w:val="00ED7C64"/>
    <w:rsid w:val="00F24A82"/>
    <w:rsid w:val="00F559EA"/>
    <w:rsid w:val="00F91712"/>
    <w:rsid w:val="00FE2D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Normal">
    <w:name w:val="Normal"/>
    <w:qFormat/>
    <w:rsid w:val="00D73D35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73D3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3D3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D35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3D35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MediumShading1-Accent2">
    <w:name w:val="Medium Shading 1 Accent 2"/>
    <w:basedOn w:val="TableNormal"/>
    <w:uiPriority w:val="63"/>
    <w:rsid w:val="00020F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D73D35"/>
    <w:rPr>
      <w:rFonts w:ascii="Arial" w:eastAsiaTheme="minorHAnsi" w:hAnsi="Arial" w:cstheme="minorBidi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3D35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5428C6"/>
    <w:pPr>
      <w:spacing w:after="0"/>
      <w:jc w:val="left"/>
    </w:pPr>
    <w:rPr>
      <w:rFonts w:ascii="Times New Roman" w:eastAsia="Times New Roman" w:hAnsi="Times New Roman"/>
      <w:lang w:eastAsia="zh-CN"/>
    </w:rPr>
  </w:style>
  <w:style w:type="paragraph" w:styleId="Revision">
    <w:name w:val="Revision"/>
    <w:hidden/>
    <w:uiPriority w:val="99"/>
    <w:semiHidden/>
    <w:rsid w:val="00D73D35"/>
    <w:rPr>
      <w:rFonts w:ascii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73D3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73D35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73D3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3D35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73D35"/>
    <w:rPr>
      <w:b/>
    </w:rPr>
  </w:style>
  <w:style w:type="paragraph" w:customStyle="1" w:styleId="BasicParagraph">
    <w:name w:val="[Basic Paragraph]"/>
    <w:basedOn w:val="Normal"/>
    <w:uiPriority w:val="99"/>
    <w:rsid w:val="00D73D3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D73D35"/>
    <w:pPr>
      <w:numPr>
        <w:numId w:val="3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D73D35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unhideWhenUsed/>
    <w:rsid w:val="00D73D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1519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193"/>
    <w:rPr>
      <w:rFonts w:ascii="Arial" w:hAnsi="Arial" w:cs="Arial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D73D3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D73D35"/>
    <w:rPr>
      <w:rFonts w:ascii="Arial" w:hAnsi="Arial" w:cs="Times New Roman"/>
      <w:b/>
      <w:bCs/>
      <w:sz w:val="20"/>
      <w:szCs w:val="20"/>
    </w:rPr>
  </w:style>
  <w:style w:type="paragraph" w:customStyle="1" w:styleId="Default">
    <w:name w:val="Default"/>
    <w:rsid w:val="00D73D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unhideWhenUsed/>
    <w:rsid w:val="00D73D35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D73D35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D73D35"/>
    <w:rPr>
      <w:rFonts w:ascii="Arial" w:hAnsi="Arial" w:cs="Times New Roman"/>
      <w:b/>
      <w:sz w:val="40"/>
      <w:szCs w:val="52"/>
    </w:rPr>
  </w:style>
  <w:style w:type="paragraph" w:customStyle="1" w:styleId="Header1">
    <w:name w:val="Header 1"/>
    <w:basedOn w:val="Header"/>
    <w:rsid w:val="00D73D35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3D3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3D35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D35"/>
    <w:rPr>
      <w:rFonts w:ascii="Arial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15193"/>
    <w:rPr>
      <w:rFonts w:eastAsiaTheme="majorEastAsia" w:cstheme="majorBidi"/>
      <w:bCs/>
      <w:i/>
      <w:iCs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D73D35"/>
    <w:rPr>
      <w:color w:val="0000FF" w:themeColor="hyperlink"/>
      <w:u w:val="single"/>
    </w:rPr>
  </w:style>
  <w:style w:type="character" w:customStyle="1" w:styleId="Pantone485">
    <w:name w:val="Pantone 485"/>
    <w:basedOn w:val="DefaultParagraphFont"/>
    <w:uiPriority w:val="1"/>
    <w:qFormat/>
    <w:rsid w:val="00D73D35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D73D3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73D35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D73D35"/>
    <w:rPr>
      <w:rFonts w:asciiTheme="minorHAnsi" w:hAnsiTheme="minorHAnsi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FootnoteText">
    <w:name w:val="footnote text"/>
    <w:basedOn w:val="Normal"/>
    <w:link w:val="FootnoteTextChar"/>
    <w:uiPriority w:val="99"/>
    <w:unhideWhenUsed/>
    <w:rsid w:val="00D73D3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3D3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73D35"/>
    <w:rPr>
      <w:vertAlign w:val="superscript"/>
    </w:rPr>
  </w:style>
  <w:style w:type="paragraph" w:customStyle="1" w:styleId="ListNumber1">
    <w:name w:val="List Number 1"/>
    <w:basedOn w:val="Normal"/>
    <w:rsid w:val="00D73D35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73D35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73D35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73D3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73D3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D52"/>
    <w:pPr>
      <w:keepNext/>
      <w:keepLines/>
      <w:framePr w:hSpace="141" w:wrap="around" w:vAnchor="text" w:hAnchor="margin" w:y="402"/>
      <w:numPr>
        <w:numId w:val="46"/>
      </w:numPr>
      <w:spacing w:beforeLines="60" w:afterLines="20"/>
      <w:ind w:left="714"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Normal">
    <w:name w:val="Normal"/>
    <w:qFormat/>
    <w:rsid w:val="00D73D35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73D3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3D3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D35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3D35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MediumShading1-Accent2">
    <w:name w:val="Medium Shading 1 Accent 2"/>
    <w:basedOn w:val="TableNormal"/>
    <w:uiPriority w:val="63"/>
    <w:rsid w:val="00020F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D73D35"/>
    <w:rPr>
      <w:rFonts w:ascii="Arial" w:eastAsiaTheme="minorHAnsi" w:hAnsi="Arial" w:cstheme="minorBidi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3D35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5428C6"/>
    <w:pPr>
      <w:spacing w:after="0"/>
      <w:jc w:val="left"/>
    </w:pPr>
    <w:rPr>
      <w:rFonts w:ascii="Times New Roman" w:eastAsia="Times New Roman" w:hAnsi="Times New Roman"/>
      <w:lang w:eastAsia="zh-CN"/>
    </w:rPr>
  </w:style>
  <w:style w:type="paragraph" w:styleId="Revision">
    <w:name w:val="Revision"/>
    <w:hidden/>
    <w:uiPriority w:val="99"/>
    <w:semiHidden/>
    <w:rsid w:val="00D73D35"/>
    <w:rPr>
      <w:rFonts w:ascii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73D3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73D35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73D3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3D35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73D35"/>
    <w:rPr>
      <w:b/>
    </w:rPr>
  </w:style>
  <w:style w:type="paragraph" w:customStyle="1" w:styleId="BasicParagraph">
    <w:name w:val="[Basic Paragraph]"/>
    <w:basedOn w:val="Normal"/>
    <w:uiPriority w:val="99"/>
    <w:rsid w:val="00D73D3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D73D35"/>
    <w:pPr>
      <w:numPr>
        <w:numId w:val="3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D73D35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unhideWhenUsed/>
    <w:rsid w:val="00D73D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1519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193"/>
    <w:rPr>
      <w:rFonts w:ascii="Arial" w:hAnsi="Arial" w:cs="Arial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D73D3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D73D35"/>
    <w:rPr>
      <w:rFonts w:ascii="Arial" w:hAnsi="Arial" w:cs="Times New Roman"/>
      <w:b/>
      <w:bCs/>
      <w:sz w:val="20"/>
      <w:szCs w:val="20"/>
    </w:rPr>
  </w:style>
  <w:style w:type="paragraph" w:customStyle="1" w:styleId="Default">
    <w:name w:val="Default"/>
    <w:rsid w:val="00D73D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unhideWhenUsed/>
    <w:rsid w:val="00D73D35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D73D35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D73D35"/>
    <w:rPr>
      <w:rFonts w:ascii="Arial" w:hAnsi="Arial" w:cs="Times New Roman"/>
      <w:b/>
      <w:sz w:val="40"/>
      <w:szCs w:val="52"/>
    </w:rPr>
  </w:style>
  <w:style w:type="paragraph" w:customStyle="1" w:styleId="Header1">
    <w:name w:val="Header 1"/>
    <w:basedOn w:val="Header"/>
    <w:rsid w:val="00D73D35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3D3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3D35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D35"/>
    <w:rPr>
      <w:rFonts w:ascii="Arial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15193"/>
    <w:rPr>
      <w:rFonts w:eastAsiaTheme="majorEastAsia" w:cstheme="majorBidi"/>
      <w:bCs/>
      <w:i/>
      <w:iCs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D73D35"/>
    <w:rPr>
      <w:color w:val="0000FF" w:themeColor="hyperlink"/>
      <w:u w:val="single"/>
    </w:rPr>
  </w:style>
  <w:style w:type="character" w:customStyle="1" w:styleId="Pantone485">
    <w:name w:val="Pantone 485"/>
    <w:basedOn w:val="DefaultParagraphFont"/>
    <w:uiPriority w:val="1"/>
    <w:qFormat/>
    <w:rsid w:val="00D73D35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D73D3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73D35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D73D35"/>
    <w:rPr>
      <w:rFonts w:asciiTheme="minorHAnsi" w:hAnsiTheme="minorHAnsi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FootnoteText">
    <w:name w:val="footnote text"/>
    <w:basedOn w:val="Normal"/>
    <w:link w:val="FootnoteTextChar"/>
    <w:uiPriority w:val="99"/>
    <w:unhideWhenUsed/>
    <w:rsid w:val="00D73D3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3D3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73D35"/>
    <w:rPr>
      <w:vertAlign w:val="superscript"/>
    </w:rPr>
  </w:style>
  <w:style w:type="paragraph" w:customStyle="1" w:styleId="ListNumber1">
    <w:name w:val="List Number 1"/>
    <w:basedOn w:val="Normal"/>
    <w:rsid w:val="00D73D35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73D35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73D35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73D3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73D3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D52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432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Florence MAROT</cp:lastModifiedBy>
  <cp:revision>44</cp:revision>
  <cp:lastPrinted>2016-03-14T10:05:00Z</cp:lastPrinted>
  <dcterms:created xsi:type="dcterms:W3CDTF">2015-09-04T02:09:00Z</dcterms:created>
  <dcterms:modified xsi:type="dcterms:W3CDTF">2016-03-14T13:37:00Z</dcterms:modified>
</cp:coreProperties>
</file>