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F10" w:rsidRPr="00D24ADE" w:rsidRDefault="00D24ADE" w:rsidP="00D24ADE">
      <w:pPr>
        <w:pBdr>
          <w:top w:val="single" w:sz="4" w:space="1" w:color="auto"/>
          <w:left w:val="single" w:sz="4" w:space="4" w:color="auto"/>
          <w:bottom w:val="single" w:sz="4" w:space="1" w:color="auto"/>
          <w:right w:val="single" w:sz="4" w:space="4" w:color="auto"/>
        </w:pBdr>
        <w:spacing w:after="120"/>
        <w:jc w:val="center"/>
        <w:rPr>
          <w:rFonts w:ascii="Arial" w:hAnsi="Arial" w:cs="Arial"/>
          <w:b/>
          <w:bCs/>
          <w:color w:val="E36C0A" w:themeColor="accent6" w:themeShade="BF"/>
          <w:sz w:val="32"/>
        </w:rPr>
      </w:pPr>
      <w:r w:rsidRPr="00D24ADE">
        <w:rPr>
          <w:rFonts w:ascii="Arial" w:hAnsi="Arial" w:cs="Arial"/>
          <w:b/>
          <w:bCs/>
          <w:color w:val="E36C0A" w:themeColor="accent6" w:themeShade="BF"/>
          <w:sz w:val="32"/>
        </w:rPr>
        <w:t>RAPID ACCOUNTABILITY REVIEW</w:t>
      </w:r>
    </w:p>
    <w:p w:rsidR="00800F10" w:rsidRPr="007F04C3" w:rsidRDefault="00BA00DB" w:rsidP="00800F10">
      <w:pPr>
        <w:pBdr>
          <w:top w:val="single" w:sz="4" w:space="1" w:color="auto"/>
          <w:left w:val="single" w:sz="4" w:space="4" w:color="auto"/>
          <w:bottom w:val="single" w:sz="4" w:space="1" w:color="auto"/>
          <w:right w:val="single" w:sz="4" w:space="4" w:color="auto"/>
        </w:pBdr>
        <w:tabs>
          <w:tab w:val="left" w:pos="142"/>
        </w:tabs>
        <w:spacing w:after="120"/>
        <w:jc w:val="center"/>
        <w:rPr>
          <w:rFonts w:ascii="Arial" w:hAnsi="Arial" w:cs="Arial"/>
          <w:b/>
          <w:color w:val="E36C0A"/>
          <w:sz w:val="24"/>
        </w:rPr>
      </w:pPr>
      <w:r>
        <w:rPr>
          <w:rFonts w:ascii="Arial" w:hAnsi="Arial" w:cs="Arial"/>
          <w:b/>
          <w:color w:val="E36C0A"/>
          <w:sz w:val="24"/>
        </w:rPr>
        <w:t>Guidance update June 2018</w:t>
      </w:r>
    </w:p>
    <w:p w:rsidR="00D24ADE" w:rsidRDefault="00D24ADE" w:rsidP="00D24ADE">
      <w:pPr>
        <w:spacing w:before="360"/>
        <w:ind w:left="360"/>
        <w:rPr>
          <w:rFonts w:ascii="Arial" w:hAnsi="Arial" w:cs="Arial"/>
          <w:b/>
          <w:bCs/>
        </w:rPr>
      </w:pPr>
      <w:r>
        <w:rPr>
          <w:rFonts w:ascii="Arial" w:hAnsi="Arial" w:cs="Arial"/>
          <w:b/>
          <w:bCs/>
        </w:rPr>
        <w:t xml:space="preserve">What is a Rapid Accountability Review? </w:t>
      </w:r>
    </w:p>
    <w:p w:rsidR="00D24ADE" w:rsidRDefault="00D24ADE" w:rsidP="00D24ADE">
      <w:pPr>
        <w:ind w:left="360"/>
        <w:rPr>
          <w:rFonts w:ascii="Arial" w:hAnsi="Arial" w:cs="Arial"/>
        </w:rPr>
      </w:pPr>
      <w:r>
        <w:rPr>
          <w:rFonts w:ascii="Arial" w:hAnsi="Arial" w:cs="Arial"/>
        </w:rPr>
        <w:t xml:space="preserve">A RAR is a </w:t>
      </w:r>
      <w:r>
        <w:rPr>
          <w:rFonts w:ascii="Arial" w:hAnsi="Arial" w:cs="Arial"/>
          <w:i/>
          <w:iCs/>
          <w:u w:val="single"/>
        </w:rPr>
        <w:t>rapid performance assessment of emergency response</w:t>
      </w:r>
      <w:r>
        <w:rPr>
          <w:rFonts w:ascii="Arial" w:hAnsi="Arial" w:cs="Arial"/>
        </w:rPr>
        <w:t xml:space="preserve"> against CARE’s HAF that takes place within the first few months of an emergency response. It generates findings and recommendations that are used to make immediate adjustments to the resp</w:t>
      </w:r>
      <w:r w:rsidR="007E0C0B">
        <w:rPr>
          <w:rFonts w:ascii="Arial" w:hAnsi="Arial" w:cs="Arial"/>
        </w:rPr>
        <w:t>onse. It is also a key source for any response review</w:t>
      </w:r>
      <w:r w:rsidR="002555AE">
        <w:rPr>
          <w:rFonts w:ascii="Arial" w:hAnsi="Arial" w:cs="Arial"/>
        </w:rPr>
        <w:t xml:space="preserve"> and performance management</w:t>
      </w:r>
      <w:r w:rsidR="007E0C0B">
        <w:rPr>
          <w:rFonts w:ascii="Arial" w:hAnsi="Arial" w:cs="Arial"/>
        </w:rPr>
        <w:t xml:space="preserve"> process</w:t>
      </w:r>
      <w:r>
        <w:rPr>
          <w:rFonts w:ascii="Arial" w:hAnsi="Arial" w:cs="Arial"/>
        </w:rPr>
        <w:t xml:space="preserve">.  It usually entails interviews with CARE management, staff, communities and other key external stakeholders, and is led by an independent team leader.  </w:t>
      </w:r>
    </w:p>
    <w:p w:rsidR="00D24ADE" w:rsidRDefault="00D24ADE" w:rsidP="00D24ADE">
      <w:pPr>
        <w:spacing w:before="360"/>
        <w:ind w:left="360"/>
        <w:rPr>
          <w:rFonts w:ascii="Arial" w:hAnsi="Arial" w:cs="Arial"/>
          <w:b/>
          <w:bCs/>
        </w:rPr>
      </w:pPr>
      <w:r>
        <w:rPr>
          <w:rFonts w:ascii="Arial" w:hAnsi="Arial" w:cs="Arial"/>
          <w:b/>
          <w:bCs/>
        </w:rPr>
        <w:t xml:space="preserve">What is the purpose of an RAR? </w:t>
      </w:r>
    </w:p>
    <w:p w:rsidR="00D24ADE" w:rsidRDefault="00D24ADE" w:rsidP="00D24ADE">
      <w:pPr>
        <w:ind w:left="360"/>
        <w:rPr>
          <w:rFonts w:ascii="Arial" w:hAnsi="Arial" w:cs="Arial"/>
        </w:rPr>
      </w:pPr>
      <w:r>
        <w:rPr>
          <w:rFonts w:ascii="Arial" w:hAnsi="Arial" w:cs="Arial"/>
        </w:rPr>
        <w:t xml:space="preserve">The overall goal of the RAR is to improve the quality of CARE’s response by assessing its compliance with established good practice </w:t>
      </w:r>
    </w:p>
    <w:p w:rsidR="00D24ADE" w:rsidRDefault="00D24ADE" w:rsidP="00D24ADE">
      <w:pPr>
        <w:ind w:left="360"/>
        <w:rPr>
          <w:rFonts w:ascii="Arial" w:hAnsi="Arial" w:cs="Arial"/>
        </w:rPr>
      </w:pPr>
      <w:r>
        <w:rPr>
          <w:rFonts w:ascii="Arial" w:hAnsi="Arial" w:cs="Arial"/>
        </w:rPr>
        <w:t>More specifically, the RAR:</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Provides a real time assessment of HAF compliance during early emergency response</w:t>
      </w:r>
    </w:p>
    <w:p w:rsidR="007E0C0B" w:rsidRDefault="007E0C0B" w:rsidP="007E0C0B">
      <w:pPr>
        <w:pStyle w:val="ListParagraph"/>
        <w:numPr>
          <w:ilvl w:val="1"/>
          <w:numId w:val="16"/>
        </w:numPr>
        <w:spacing w:after="120"/>
        <w:ind w:left="709" w:hanging="284"/>
        <w:rPr>
          <w:rFonts w:ascii="Arial" w:hAnsi="Arial" w:cs="Arial"/>
        </w:rPr>
      </w:pPr>
      <w:r>
        <w:rPr>
          <w:rFonts w:ascii="Arial" w:hAnsi="Arial" w:cs="Arial"/>
        </w:rPr>
        <w:t xml:space="preserve">Ensures that the views of our key stakeholders are taken into account in making adjustments to our response and in drawing lessons learned.  </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Identifies good practices, highlight gaps (including gaps in capacity)  gaps and areas for improvement</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Makes recommendations to CARE management (CO, CI and CARE Members) for immediate action</w:t>
      </w:r>
      <w:r w:rsidR="007E0C0B">
        <w:rPr>
          <w:rFonts w:ascii="Arial" w:hAnsi="Arial" w:cs="Arial"/>
        </w:rPr>
        <w:t xml:space="preserve"> related to the ongoing response</w:t>
      </w:r>
    </w:p>
    <w:p w:rsidR="00D24ADE" w:rsidRDefault="00D24ADE" w:rsidP="00D24ADE">
      <w:pPr>
        <w:spacing w:before="360"/>
        <w:ind w:left="360"/>
        <w:rPr>
          <w:rFonts w:ascii="Arial" w:hAnsi="Arial" w:cs="Arial"/>
          <w:b/>
          <w:bCs/>
        </w:rPr>
      </w:pPr>
      <w:r>
        <w:rPr>
          <w:rFonts w:ascii="Arial" w:hAnsi="Arial" w:cs="Arial"/>
          <w:b/>
          <w:bCs/>
        </w:rPr>
        <w:t xml:space="preserve">When does it take place? </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Ideall</w:t>
      </w:r>
      <w:r w:rsidR="007E0C0B">
        <w:rPr>
          <w:rFonts w:ascii="Arial" w:hAnsi="Arial" w:cs="Arial"/>
        </w:rPr>
        <w:t>y, a RAR is conducted within 2</w:t>
      </w:r>
      <w:r>
        <w:rPr>
          <w:rFonts w:ascii="Arial" w:hAnsi="Arial" w:cs="Arial"/>
        </w:rPr>
        <w:t xml:space="preserve"> months of the start of an emergen</w:t>
      </w:r>
      <w:r w:rsidR="007E0C0B">
        <w:rPr>
          <w:rFonts w:ascii="Arial" w:hAnsi="Arial" w:cs="Arial"/>
        </w:rPr>
        <w:t>cy event, and feeds into the general response review and performance management</w:t>
      </w:r>
      <w:r>
        <w:rPr>
          <w:rFonts w:ascii="Arial" w:hAnsi="Arial" w:cs="Arial"/>
        </w:rPr>
        <w:t xml:space="preserve"> process</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 xml:space="preserve">A similar process can also be repeated at later stages of response in order to take stock of HAF compliance and improvements made, or to feed into a particular event such as </w:t>
      </w:r>
      <w:r w:rsidR="007E0C0B">
        <w:rPr>
          <w:rFonts w:ascii="Arial" w:hAnsi="Arial" w:cs="Arial"/>
        </w:rPr>
        <w:t xml:space="preserve">a response evaluation, </w:t>
      </w:r>
      <w:r>
        <w:rPr>
          <w:rFonts w:ascii="Arial" w:hAnsi="Arial" w:cs="Arial"/>
        </w:rPr>
        <w:t>an emergency strategy review, or EPP event</w:t>
      </w:r>
    </w:p>
    <w:p w:rsidR="00D24ADE" w:rsidRDefault="00D24ADE" w:rsidP="00D24ADE">
      <w:pPr>
        <w:spacing w:before="360"/>
        <w:ind w:left="360"/>
        <w:rPr>
          <w:rFonts w:ascii="Arial" w:hAnsi="Arial" w:cs="Arial"/>
          <w:b/>
          <w:bCs/>
        </w:rPr>
      </w:pPr>
      <w:r>
        <w:rPr>
          <w:rFonts w:ascii="Arial" w:hAnsi="Arial" w:cs="Arial"/>
          <w:b/>
          <w:bCs/>
        </w:rPr>
        <w:t xml:space="preserve">What are some of the key steps and who is involved? </w:t>
      </w:r>
    </w:p>
    <w:p w:rsidR="00D24ADE" w:rsidRDefault="00D24ADE" w:rsidP="00D24ADE">
      <w:pPr>
        <w:spacing w:after="120"/>
        <w:ind w:left="360"/>
        <w:rPr>
          <w:rFonts w:ascii="Arial" w:hAnsi="Arial" w:cs="Arial"/>
        </w:rPr>
      </w:pPr>
      <w:r>
        <w:rPr>
          <w:rFonts w:ascii="Arial" w:hAnsi="Arial" w:cs="Arial"/>
        </w:rPr>
        <w:t xml:space="preserve">A RAR involves interviews with staff, partners, peers and communities.  There are some key steps that take place before and after.  </w:t>
      </w:r>
    </w:p>
    <w:p w:rsidR="00D24ADE" w:rsidRDefault="00D24ADE" w:rsidP="00D24ADE">
      <w:pPr>
        <w:spacing w:after="120"/>
        <w:ind w:left="425"/>
        <w:rPr>
          <w:rFonts w:ascii="Arial" w:hAnsi="Arial" w:cs="Arial"/>
          <w:u w:val="single"/>
        </w:rPr>
      </w:pPr>
      <w:r>
        <w:rPr>
          <w:rFonts w:ascii="Arial" w:hAnsi="Arial" w:cs="Arial"/>
          <w:u w:val="single"/>
        </w:rPr>
        <w:t>Planning for the review</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 xml:space="preserve">An independent team leader leads the review and provides an external viewpoint.  </w:t>
      </w:r>
    </w:p>
    <w:p w:rsidR="00D24ADE" w:rsidRDefault="0087356B" w:rsidP="00D24ADE">
      <w:pPr>
        <w:pStyle w:val="ListParagraph"/>
        <w:numPr>
          <w:ilvl w:val="1"/>
          <w:numId w:val="16"/>
        </w:numPr>
        <w:spacing w:after="120"/>
        <w:ind w:left="709" w:hanging="284"/>
        <w:rPr>
          <w:rFonts w:ascii="Arial" w:hAnsi="Arial" w:cs="Arial"/>
        </w:rPr>
      </w:pPr>
      <w:r>
        <w:rPr>
          <w:rFonts w:ascii="Arial" w:hAnsi="Arial" w:cs="Arial"/>
        </w:rPr>
        <w:t>The TL</w:t>
      </w:r>
      <w:r w:rsidR="00D24ADE">
        <w:rPr>
          <w:rFonts w:ascii="Arial" w:hAnsi="Arial" w:cs="Arial"/>
        </w:rPr>
        <w:t xml:space="preserve"> works closely with a counterpart from the CO, providing coaching to this staff member. They </w:t>
      </w:r>
      <w:r>
        <w:rPr>
          <w:rFonts w:ascii="Arial" w:hAnsi="Arial" w:cs="Arial"/>
        </w:rPr>
        <w:t xml:space="preserve">together will train, supervise and support also staff who will be needed to conduct </w:t>
      </w:r>
      <w:r w:rsidR="00D24ADE">
        <w:rPr>
          <w:rFonts w:ascii="Arial" w:hAnsi="Arial" w:cs="Arial"/>
        </w:rPr>
        <w:t xml:space="preserve">interviews and </w:t>
      </w:r>
      <w:r>
        <w:rPr>
          <w:rFonts w:ascii="Arial" w:hAnsi="Arial" w:cs="Arial"/>
        </w:rPr>
        <w:t xml:space="preserve">facilitate </w:t>
      </w:r>
      <w:r w:rsidR="00D24ADE">
        <w:rPr>
          <w:rFonts w:ascii="Arial" w:hAnsi="Arial" w:cs="Arial"/>
        </w:rPr>
        <w:t>FGDs</w:t>
      </w:r>
      <w:r>
        <w:rPr>
          <w:rFonts w:ascii="Arial" w:hAnsi="Arial" w:cs="Arial"/>
        </w:rPr>
        <w:t xml:space="preserve"> (see below), translate and process data</w:t>
      </w:r>
      <w:r w:rsidR="00D24ADE">
        <w:rPr>
          <w:rFonts w:ascii="Arial" w:hAnsi="Arial" w:cs="Arial"/>
        </w:rPr>
        <w:t xml:space="preserve">.     </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The duration will vary depending on the context, and the scope of the review.  To date, reviews of this k</w:t>
      </w:r>
      <w:r w:rsidR="00822511">
        <w:rPr>
          <w:rFonts w:ascii="Arial" w:hAnsi="Arial" w:cs="Arial"/>
        </w:rPr>
        <w:t>ind have taken</w:t>
      </w:r>
      <w:r w:rsidR="002555AE">
        <w:rPr>
          <w:rFonts w:ascii="Arial" w:hAnsi="Arial" w:cs="Arial"/>
        </w:rPr>
        <w:t xml:space="preserve"> from 3 days to 10</w:t>
      </w:r>
      <w:r>
        <w:rPr>
          <w:rFonts w:ascii="Arial" w:hAnsi="Arial" w:cs="Arial"/>
        </w:rPr>
        <w:t xml:space="preserve"> days. </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 xml:space="preserve">A mix of methods is used, that can include key informant interviews, focus group discussions, document review, observation and (if feasible) simple survey techniques </w:t>
      </w:r>
      <w:r w:rsidR="0087356B">
        <w:rPr>
          <w:rFonts w:ascii="Arial" w:hAnsi="Arial" w:cs="Arial"/>
        </w:rPr>
        <w:t>– see below.</w:t>
      </w:r>
      <w:r>
        <w:rPr>
          <w:rFonts w:ascii="Arial" w:hAnsi="Arial" w:cs="Arial"/>
        </w:rPr>
        <w:t> </w:t>
      </w:r>
    </w:p>
    <w:p w:rsidR="0087356B" w:rsidRPr="0087356B" w:rsidRDefault="0087356B" w:rsidP="0087356B">
      <w:pPr>
        <w:spacing w:after="120"/>
        <w:ind w:left="425"/>
        <w:rPr>
          <w:rFonts w:ascii="Arial" w:hAnsi="Arial" w:cs="Arial"/>
          <w:u w:val="single"/>
        </w:rPr>
      </w:pPr>
      <w:r w:rsidRPr="0087356B">
        <w:rPr>
          <w:rFonts w:ascii="Arial" w:hAnsi="Arial" w:cs="Arial"/>
          <w:u w:val="single"/>
        </w:rPr>
        <w:lastRenderedPageBreak/>
        <w:t>Conducting the Review</w:t>
      </w:r>
    </w:p>
    <w:p w:rsidR="00D24ADE" w:rsidRDefault="00061A14" w:rsidP="00D24ADE">
      <w:pPr>
        <w:pStyle w:val="ListParagraph"/>
        <w:numPr>
          <w:ilvl w:val="1"/>
          <w:numId w:val="16"/>
        </w:numPr>
        <w:spacing w:after="120"/>
        <w:ind w:left="709" w:hanging="284"/>
        <w:rPr>
          <w:rFonts w:ascii="Arial" w:hAnsi="Arial" w:cs="Arial"/>
        </w:rPr>
      </w:pPr>
      <w:r>
        <w:rPr>
          <w:rFonts w:ascii="Arial" w:hAnsi="Arial" w:cs="Arial"/>
        </w:rPr>
        <w:t xml:space="preserve">The review takes place in both HQ and field locations and requires logistics support to set up interviews, and organise workshops. </w:t>
      </w:r>
      <w:r w:rsidR="00D24ADE">
        <w:rPr>
          <w:rFonts w:ascii="Arial" w:hAnsi="Arial" w:cs="Arial"/>
        </w:rPr>
        <w:t>If possible a relatively small but representative sample of stakeholders should be interviewed, including:</w:t>
      </w:r>
    </w:p>
    <w:p w:rsidR="00D24ADE" w:rsidRDefault="00D24ADE" w:rsidP="00D24ADE">
      <w:pPr>
        <w:pStyle w:val="ListParagraph"/>
        <w:numPr>
          <w:ilvl w:val="0"/>
          <w:numId w:val="17"/>
        </w:numPr>
        <w:spacing w:after="120"/>
        <w:ind w:left="1069"/>
        <w:rPr>
          <w:rFonts w:ascii="Arial" w:hAnsi="Arial" w:cs="Arial"/>
        </w:rPr>
      </w:pPr>
      <w:r>
        <w:rPr>
          <w:rFonts w:ascii="Arial" w:hAnsi="Arial" w:cs="Arial"/>
        </w:rPr>
        <w:t>CARE Senior Management</w:t>
      </w:r>
    </w:p>
    <w:p w:rsidR="00D24ADE" w:rsidRDefault="00D24ADE" w:rsidP="00D24ADE">
      <w:pPr>
        <w:pStyle w:val="ListParagraph"/>
        <w:numPr>
          <w:ilvl w:val="0"/>
          <w:numId w:val="17"/>
        </w:numPr>
        <w:spacing w:after="120"/>
        <w:ind w:left="1069"/>
        <w:rPr>
          <w:rFonts w:ascii="Arial" w:hAnsi="Arial" w:cs="Arial"/>
        </w:rPr>
      </w:pPr>
      <w:r>
        <w:rPr>
          <w:rFonts w:ascii="Arial" w:hAnsi="Arial" w:cs="Arial"/>
        </w:rPr>
        <w:t>CARE Program and Program Support staff</w:t>
      </w:r>
    </w:p>
    <w:p w:rsidR="00D24ADE" w:rsidRDefault="00D24ADE" w:rsidP="00D24ADE">
      <w:pPr>
        <w:pStyle w:val="ListParagraph"/>
        <w:numPr>
          <w:ilvl w:val="0"/>
          <w:numId w:val="17"/>
        </w:numPr>
        <w:spacing w:after="120"/>
        <w:ind w:left="1069"/>
        <w:rPr>
          <w:rFonts w:ascii="Arial" w:hAnsi="Arial" w:cs="Arial"/>
        </w:rPr>
      </w:pPr>
      <w:r>
        <w:rPr>
          <w:rFonts w:ascii="Arial" w:hAnsi="Arial" w:cs="Arial"/>
        </w:rPr>
        <w:t xml:space="preserve">CARE Member and CEG staff  </w:t>
      </w:r>
    </w:p>
    <w:p w:rsidR="00D24ADE" w:rsidRDefault="00D24ADE" w:rsidP="00D24ADE">
      <w:pPr>
        <w:pStyle w:val="ListParagraph"/>
        <w:numPr>
          <w:ilvl w:val="0"/>
          <w:numId w:val="17"/>
        </w:numPr>
        <w:spacing w:after="120"/>
        <w:ind w:left="1069"/>
        <w:rPr>
          <w:rFonts w:ascii="Arial" w:hAnsi="Arial" w:cs="Arial"/>
        </w:rPr>
      </w:pPr>
      <w:r>
        <w:rPr>
          <w:rFonts w:ascii="Arial" w:hAnsi="Arial" w:cs="Arial"/>
        </w:rPr>
        <w:t>Key CARE partners</w:t>
      </w:r>
    </w:p>
    <w:p w:rsidR="00D24ADE" w:rsidRDefault="00D24ADE" w:rsidP="00D24ADE">
      <w:pPr>
        <w:pStyle w:val="ListParagraph"/>
        <w:numPr>
          <w:ilvl w:val="0"/>
          <w:numId w:val="17"/>
        </w:numPr>
        <w:spacing w:after="120"/>
        <w:ind w:left="1069"/>
        <w:rPr>
          <w:rFonts w:ascii="Arial" w:hAnsi="Arial" w:cs="Arial"/>
        </w:rPr>
      </w:pPr>
      <w:r>
        <w:rPr>
          <w:rFonts w:ascii="Arial" w:hAnsi="Arial" w:cs="Arial"/>
        </w:rPr>
        <w:t xml:space="preserve">Key Government stakeholders </w:t>
      </w:r>
    </w:p>
    <w:p w:rsidR="00D24ADE" w:rsidRDefault="00D24ADE" w:rsidP="00D24ADE">
      <w:pPr>
        <w:pStyle w:val="ListParagraph"/>
        <w:numPr>
          <w:ilvl w:val="0"/>
          <w:numId w:val="17"/>
        </w:numPr>
        <w:spacing w:after="120"/>
        <w:ind w:left="1069"/>
        <w:rPr>
          <w:rFonts w:ascii="Arial" w:hAnsi="Arial" w:cs="Arial"/>
        </w:rPr>
      </w:pPr>
      <w:r>
        <w:rPr>
          <w:rFonts w:ascii="Arial" w:hAnsi="Arial" w:cs="Arial"/>
        </w:rPr>
        <w:t xml:space="preserve">Coordinator(s) of clusters where CARE had significant involvement </w:t>
      </w:r>
    </w:p>
    <w:p w:rsidR="00D24ADE" w:rsidRDefault="00D24ADE" w:rsidP="00D24ADE">
      <w:pPr>
        <w:pStyle w:val="ListParagraph"/>
        <w:numPr>
          <w:ilvl w:val="0"/>
          <w:numId w:val="17"/>
        </w:numPr>
        <w:spacing w:after="120"/>
        <w:ind w:left="1069"/>
        <w:rPr>
          <w:rFonts w:ascii="Arial" w:hAnsi="Arial" w:cs="Arial"/>
        </w:rPr>
      </w:pPr>
      <w:r>
        <w:rPr>
          <w:rFonts w:ascii="Arial" w:hAnsi="Arial" w:cs="Arial"/>
        </w:rPr>
        <w:t>Peer agencies (UN agencies, INGOs, national NGOs)</w:t>
      </w:r>
    </w:p>
    <w:p w:rsidR="00D24ADE" w:rsidRDefault="00D24ADE" w:rsidP="00D24ADE">
      <w:pPr>
        <w:pStyle w:val="ListParagraph"/>
        <w:numPr>
          <w:ilvl w:val="0"/>
          <w:numId w:val="17"/>
        </w:numPr>
        <w:spacing w:after="120"/>
        <w:ind w:left="1069"/>
        <w:rPr>
          <w:rFonts w:ascii="Arial" w:hAnsi="Arial" w:cs="Arial"/>
        </w:rPr>
      </w:pPr>
      <w:r>
        <w:rPr>
          <w:rFonts w:ascii="Arial" w:hAnsi="Arial" w:cs="Arial"/>
        </w:rPr>
        <w:t xml:space="preserve">Affected community members (if possible, separate men, women, vulnerable groups) </w:t>
      </w:r>
    </w:p>
    <w:p w:rsidR="006F188F" w:rsidRDefault="00D24ADE" w:rsidP="00D24ADE">
      <w:pPr>
        <w:pStyle w:val="ListParagraph"/>
        <w:numPr>
          <w:ilvl w:val="1"/>
          <w:numId w:val="16"/>
        </w:numPr>
        <w:spacing w:after="120"/>
        <w:ind w:left="709" w:hanging="284"/>
        <w:rPr>
          <w:rFonts w:ascii="Arial" w:hAnsi="Arial" w:cs="Arial"/>
        </w:rPr>
      </w:pPr>
      <w:r>
        <w:rPr>
          <w:rFonts w:ascii="Arial" w:hAnsi="Arial" w:cs="Arial"/>
        </w:rPr>
        <w:t>Questioning during interviews is based on the HAF but will vary in the level of detail or approach depending on the stakeholder group being interviewed</w:t>
      </w:r>
      <w:r w:rsidR="006F188F">
        <w:rPr>
          <w:rFonts w:ascii="Arial" w:hAnsi="Arial" w:cs="Arial"/>
        </w:rPr>
        <w:t>:</w:t>
      </w:r>
    </w:p>
    <w:p w:rsidR="006F188F" w:rsidRDefault="00D24ADE" w:rsidP="006F188F">
      <w:pPr>
        <w:pStyle w:val="ListParagraph"/>
        <w:numPr>
          <w:ilvl w:val="2"/>
          <w:numId w:val="16"/>
        </w:numPr>
        <w:spacing w:after="120"/>
        <w:ind w:left="1276"/>
        <w:rPr>
          <w:rFonts w:ascii="Arial" w:hAnsi="Arial" w:cs="Arial"/>
        </w:rPr>
      </w:pPr>
      <w:proofErr w:type="gramStart"/>
      <w:r>
        <w:rPr>
          <w:rFonts w:ascii="Arial" w:hAnsi="Arial" w:cs="Arial"/>
        </w:rPr>
        <w:t>relatively</w:t>
      </w:r>
      <w:proofErr w:type="gramEnd"/>
      <w:r>
        <w:rPr>
          <w:rFonts w:ascii="Arial" w:hAnsi="Arial" w:cs="Arial"/>
        </w:rPr>
        <w:t xml:space="preserve"> detailed questions for CARE program staff direct</w:t>
      </w:r>
      <w:r w:rsidR="006F188F">
        <w:rPr>
          <w:rFonts w:ascii="Arial" w:hAnsi="Arial" w:cs="Arial"/>
        </w:rPr>
        <w:t xml:space="preserve">ly involved in the response (see Staff engagement questionnaire in separate document). </w:t>
      </w:r>
    </w:p>
    <w:p w:rsidR="007A0624" w:rsidRDefault="00D24ADE" w:rsidP="006F188F">
      <w:pPr>
        <w:pStyle w:val="ListParagraph"/>
        <w:numPr>
          <w:ilvl w:val="2"/>
          <w:numId w:val="16"/>
        </w:numPr>
        <w:spacing w:after="120"/>
        <w:ind w:left="1276"/>
        <w:rPr>
          <w:rFonts w:ascii="Arial" w:hAnsi="Arial" w:cs="Arial"/>
        </w:rPr>
      </w:pPr>
      <w:proofErr w:type="gramStart"/>
      <w:r>
        <w:rPr>
          <w:rFonts w:ascii="Arial" w:hAnsi="Arial" w:cs="Arial"/>
        </w:rPr>
        <w:t>much</w:t>
      </w:r>
      <w:proofErr w:type="gramEnd"/>
      <w:r>
        <w:rPr>
          <w:rFonts w:ascii="Arial" w:hAnsi="Arial" w:cs="Arial"/>
        </w:rPr>
        <w:t xml:space="preserve"> less detailed questions for external stakeholders, such as government</w:t>
      </w:r>
      <w:r w:rsidR="007A0624">
        <w:rPr>
          <w:rFonts w:ascii="Arial" w:hAnsi="Arial" w:cs="Arial"/>
        </w:rPr>
        <w:t xml:space="preserve"> officials and peers</w:t>
      </w:r>
      <w:r>
        <w:rPr>
          <w:rFonts w:ascii="Arial" w:hAnsi="Arial" w:cs="Arial"/>
        </w:rPr>
        <w:t>.</w:t>
      </w:r>
    </w:p>
    <w:p w:rsidR="00D24ADE" w:rsidRDefault="007A0624" w:rsidP="00D24ADE">
      <w:pPr>
        <w:pStyle w:val="ListParagraph"/>
        <w:numPr>
          <w:ilvl w:val="1"/>
          <w:numId w:val="16"/>
        </w:numPr>
        <w:spacing w:after="120"/>
        <w:ind w:left="709" w:hanging="284"/>
        <w:rPr>
          <w:rFonts w:ascii="Arial" w:hAnsi="Arial" w:cs="Arial"/>
        </w:rPr>
      </w:pPr>
      <w:r>
        <w:rPr>
          <w:rFonts w:ascii="Arial" w:hAnsi="Arial" w:cs="Arial"/>
        </w:rPr>
        <w:t xml:space="preserve">For Focus Group Discussions (FGD) with affected communities </w:t>
      </w:r>
      <w:r w:rsidR="006F188F">
        <w:rPr>
          <w:rFonts w:ascii="Arial" w:hAnsi="Arial" w:cs="Arial"/>
        </w:rPr>
        <w:t xml:space="preserve">it is recommended to use </w:t>
      </w:r>
      <w:r>
        <w:rPr>
          <w:rFonts w:ascii="Arial" w:hAnsi="Arial" w:cs="Arial"/>
        </w:rPr>
        <w:t>a simplified Community Scorecard methodology covering the three main component of Accountability to Affected Populations (AAP): Information Sharing / Transparency, Participation &amp; Decisio</w:t>
      </w:r>
      <w:r w:rsidR="006F188F">
        <w:rPr>
          <w:rFonts w:ascii="Arial" w:hAnsi="Arial" w:cs="Arial"/>
        </w:rPr>
        <w:t xml:space="preserve">n Making, Feedback &amp; Complaints (see separate </w:t>
      </w:r>
      <w:hyperlink r:id="rId8" w:history="1">
        <w:r w:rsidR="006F188F" w:rsidRPr="00061A14">
          <w:rPr>
            <w:rStyle w:val="Hyperlink"/>
            <w:rFonts w:ascii="Arial" w:hAnsi="Arial" w:cs="Arial"/>
          </w:rPr>
          <w:t>Guidance Note</w:t>
        </w:r>
      </w:hyperlink>
      <w:r w:rsidR="006F188F">
        <w:rPr>
          <w:rFonts w:ascii="Arial" w:hAnsi="Arial" w:cs="Arial"/>
        </w:rPr>
        <w:t xml:space="preserve">). </w:t>
      </w:r>
      <w:r>
        <w:rPr>
          <w:rFonts w:ascii="Arial" w:hAnsi="Arial" w:cs="Arial"/>
        </w:rPr>
        <w:t xml:space="preserve"> </w:t>
      </w:r>
      <w:r w:rsidR="00D24ADE">
        <w:rPr>
          <w:rFonts w:ascii="Arial" w:hAnsi="Arial" w:cs="Arial"/>
        </w:rPr>
        <w:t xml:space="preserve">  </w:t>
      </w:r>
    </w:p>
    <w:p w:rsidR="00061A14" w:rsidRPr="0087356B" w:rsidRDefault="00D24ADE" w:rsidP="00061A14">
      <w:pPr>
        <w:pStyle w:val="ListParagraph"/>
        <w:numPr>
          <w:ilvl w:val="1"/>
          <w:numId w:val="16"/>
        </w:numPr>
        <w:spacing w:after="120"/>
        <w:ind w:left="709" w:hanging="284"/>
        <w:rPr>
          <w:rFonts w:ascii="Arial" w:hAnsi="Arial" w:cs="Arial"/>
          <w:u w:val="single"/>
        </w:rPr>
      </w:pPr>
      <w:r>
        <w:rPr>
          <w:rFonts w:ascii="Arial" w:hAnsi="Arial" w:cs="Arial"/>
        </w:rPr>
        <w:t xml:space="preserve">Brief workshops may also be conducted with CO </w:t>
      </w:r>
      <w:proofErr w:type="gramStart"/>
      <w:r>
        <w:rPr>
          <w:rFonts w:ascii="Arial" w:hAnsi="Arial" w:cs="Arial"/>
        </w:rPr>
        <w:t>field</w:t>
      </w:r>
      <w:proofErr w:type="gramEnd"/>
      <w:r>
        <w:rPr>
          <w:rFonts w:ascii="Arial" w:hAnsi="Arial" w:cs="Arial"/>
        </w:rPr>
        <w:t xml:space="preserve"> staff to explore issues in more depth with staff, and to draw out their lessons and recommendations</w:t>
      </w:r>
      <w:r w:rsidR="00061A14">
        <w:rPr>
          <w:rFonts w:ascii="Arial" w:hAnsi="Arial" w:cs="Arial"/>
        </w:rPr>
        <w:t>.</w:t>
      </w:r>
      <w:r w:rsidR="00822511">
        <w:rPr>
          <w:rFonts w:ascii="Arial" w:hAnsi="Arial" w:cs="Arial"/>
        </w:rPr>
        <w:t xml:space="preserve"> </w:t>
      </w:r>
      <w:r w:rsidR="00061A14">
        <w:rPr>
          <w:rFonts w:ascii="Arial" w:hAnsi="Arial" w:cs="Arial"/>
        </w:rPr>
        <w:t xml:space="preserve">The </w:t>
      </w:r>
      <w:hyperlink r:id="rId9" w:history="1">
        <w:r w:rsidR="00822511" w:rsidRPr="00061A14">
          <w:rPr>
            <w:rStyle w:val="Hyperlink"/>
            <w:rFonts w:ascii="Arial" w:hAnsi="Arial" w:cs="Arial"/>
          </w:rPr>
          <w:t>Staff Engagement Questionnaire</w:t>
        </w:r>
      </w:hyperlink>
      <w:r w:rsidR="00061A14">
        <w:rPr>
          <w:rFonts w:ascii="Arial" w:hAnsi="Arial" w:cs="Arial"/>
        </w:rPr>
        <w:t xml:space="preserve"> is designed as a comprehensive scorecard in order to allow for comparability and to inform CARE wide performance metrics (</w:t>
      </w:r>
      <w:r w:rsidR="0052026F">
        <w:rPr>
          <w:rFonts w:ascii="Arial" w:hAnsi="Arial" w:cs="Arial"/>
        </w:rPr>
        <w:t>see below).</w:t>
      </w:r>
    </w:p>
    <w:p w:rsidR="0087356B" w:rsidRPr="00061A14" w:rsidRDefault="0087356B" w:rsidP="00061A14">
      <w:pPr>
        <w:pStyle w:val="ListParagraph"/>
        <w:numPr>
          <w:ilvl w:val="1"/>
          <w:numId w:val="16"/>
        </w:numPr>
        <w:spacing w:after="120"/>
        <w:ind w:left="709" w:hanging="284"/>
        <w:rPr>
          <w:rFonts w:ascii="Arial" w:hAnsi="Arial" w:cs="Arial"/>
          <w:u w:val="single"/>
        </w:rPr>
      </w:pPr>
      <w:r>
        <w:rPr>
          <w:rFonts w:ascii="Arial" w:hAnsi="Arial" w:cs="Arial"/>
        </w:rPr>
        <w:t xml:space="preserve">All the information collected should be synthesised against the RAR summary framework which is aligned with the CHS indicators. </w:t>
      </w:r>
      <w:bookmarkStart w:id="0" w:name="_GoBack"/>
      <w:bookmarkEnd w:id="0"/>
      <w:r>
        <w:rPr>
          <w:rFonts w:ascii="Arial" w:hAnsi="Arial" w:cs="Arial"/>
        </w:rPr>
        <w:t xml:space="preserve"> </w:t>
      </w:r>
    </w:p>
    <w:p w:rsidR="00061A14" w:rsidRPr="00061A14" w:rsidRDefault="00061A14" w:rsidP="00061A14">
      <w:pPr>
        <w:pStyle w:val="ListParagraph"/>
        <w:spacing w:after="120"/>
        <w:ind w:left="709"/>
        <w:rPr>
          <w:rFonts w:ascii="Arial" w:hAnsi="Arial" w:cs="Arial"/>
          <w:u w:val="single"/>
        </w:rPr>
      </w:pPr>
    </w:p>
    <w:p w:rsidR="00D24ADE" w:rsidRPr="00061A14" w:rsidRDefault="00061A14" w:rsidP="00061A14">
      <w:pPr>
        <w:spacing w:after="120"/>
        <w:rPr>
          <w:rFonts w:ascii="Arial" w:hAnsi="Arial" w:cs="Arial"/>
          <w:u w:val="single"/>
        </w:rPr>
      </w:pPr>
      <w:r w:rsidRPr="00061A14">
        <w:rPr>
          <w:rFonts w:ascii="Arial" w:hAnsi="Arial" w:cs="Arial"/>
          <w:u w:val="single"/>
        </w:rPr>
        <w:t xml:space="preserve"> </w:t>
      </w:r>
      <w:r w:rsidR="00D24ADE" w:rsidRPr="00061A14">
        <w:rPr>
          <w:rFonts w:ascii="Arial" w:hAnsi="Arial" w:cs="Arial"/>
          <w:u w:val="single"/>
        </w:rPr>
        <w:t xml:space="preserve">After the review </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The results (findings, recommendations and draft scorecard ratings)</w:t>
      </w:r>
      <w:r w:rsidR="002555AE">
        <w:rPr>
          <w:rFonts w:ascii="Arial" w:hAnsi="Arial" w:cs="Arial"/>
        </w:rPr>
        <w:t xml:space="preserve"> are presented to CO management, the Crisis Coordination Group (CCG) and (if applicable) to the Emergency Response Advisory Committee (ERAC) </w:t>
      </w:r>
      <w:r>
        <w:rPr>
          <w:rFonts w:ascii="Arial" w:hAnsi="Arial" w:cs="Arial"/>
        </w:rPr>
        <w:t>for their feedback</w:t>
      </w:r>
      <w:r w:rsidR="002555AE">
        <w:rPr>
          <w:rFonts w:ascii="Arial" w:hAnsi="Arial" w:cs="Arial"/>
        </w:rPr>
        <w:t xml:space="preserve"> and validation</w:t>
      </w:r>
      <w:r>
        <w:rPr>
          <w:rFonts w:ascii="Arial" w:hAnsi="Arial" w:cs="Arial"/>
        </w:rPr>
        <w:t xml:space="preserve">.  </w:t>
      </w:r>
    </w:p>
    <w:p w:rsidR="00061A14" w:rsidRDefault="00061A14" w:rsidP="00061A14">
      <w:pPr>
        <w:pStyle w:val="ListParagraph"/>
        <w:numPr>
          <w:ilvl w:val="1"/>
          <w:numId w:val="16"/>
        </w:numPr>
        <w:spacing w:after="120"/>
        <w:ind w:left="709" w:hanging="284"/>
        <w:rPr>
          <w:rFonts w:ascii="Arial" w:hAnsi="Arial" w:cs="Arial"/>
        </w:rPr>
      </w:pPr>
      <w:r>
        <w:rPr>
          <w:rFonts w:ascii="Arial" w:hAnsi="Arial" w:cs="Arial"/>
        </w:rPr>
        <w:t xml:space="preserve">A final version of the RAR report is submitted to CEG for dissemination and made available through information sharing platforms in CARE as well as on external platforms (if agreed by all stakeholders). </w:t>
      </w:r>
    </w:p>
    <w:p w:rsidR="00D24ADE" w:rsidRDefault="00D24ADE" w:rsidP="00D24ADE">
      <w:pPr>
        <w:pStyle w:val="ListParagraph"/>
        <w:numPr>
          <w:ilvl w:val="1"/>
          <w:numId w:val="16"/>
        </w:numPr>
        <w:spacing w:after="120"/>
        <w:ind w:left="709" w:hanging="284"/>
        <w:rPr>
          <w:rFonts w:ascii="Arial" w:hAnsi="Arial" w:cs="Arial"/>
        </w:rPr>
      </w:pPr>
      <w:r>
        <w:rPr>
          <w:rFonts w:ascii="Arial" w:hAnsi="Arial" w:cs="Arial"/>
        </w:rPr>
        <w:t>The results are also sha</w:t>
      </w:r>
      <w:r w:rsidR="002555AE">
        <w:rPr>
          <w:rFonts w:ascii="Arial" w:hAnsi="Arial" w:cs="Arial"/>
        </w:rPr>
        <w:t xml:space="preserve">red with participants and key informants of response reviews </w:t>
      </w:r>
      <w:r w:rsidR="00061A14">
        <w:rPr>
          <w:rFonts w:ascii="Arial" w:hAnsi="Arial" w:cs="Arial"/>
        </w:rPr>
        <w:t>(e.g. AAR) and evaluators for their</w:t>
      </w:r>
      <w:r w:rsidR="002555AE">
        <w:rPr>
          <w:rFonts w:ascii="Arial" w:hAnsi="Arial" w:cs="Arial"/>
        </w:rPr>
        <w:t xml:space="preserve"> reference</w:t>
      </w:r>
      <w:r>
        <w:rPr>
          <w:rFonts w:ascii="Arial" w:hAnsi="Arial" w:cs="Arial"/>
        </w:rPr>
        <w:t xml:space="preserve">. </w:t>
      </w:r>
    </w:p>
    <w:p w:rsidR="0052026F" w:rsidRDefault="0052026F" w:rsidP="00D24ADE">
      <w:pPr>
        <w:pStyle w:val="ListParagraph"/>
        <w:numPr>
          <w:ilvl w:val="1"/>
          <w:numId w:val="16"/>
        </w:numPr>
        <w:spacing w:after="120"/>
        <w:ind w:left="709" w:hanging="284"/>
        <w:rPr>
          <w:rFonts w:ascii="Arial" w:hAnsi="Arial" w:cs="Arial"/>
        </w:rPr>
      </w:pPr>
      <w:r>
        <w:rPr>
          <w:rFonts w:ascii="Arial" w:hAnsi="Arial" w:cs="Arial"/>
        </w:rPr>
        <w:t xml:space="preserve">The RAR findings also inform the </w:t>
      </w:r>
      <w:hyperlink r:id="rId10" w:history="1">
        <w:r w:rsidRPr="0052026F">
          <w:rPr>
            <w:rStyle w:val="Hyperlink"/>
            <w:rFonts w:ascii="Arial" w:hAnsi="Arial" w:cs="Arial"/>
          </w:rPr>
          <w:t>Response Performance Summary</w:t>
        </w:r>
      </w:hyperlink>
      <w:r>
        <w:rPr>
          <w:rFonts w:ascii="Arial" w:hAnsi="Arial" w:cs="Arial"/>
        </w:rPr>
        <w:t xml:space="preserve"> which constitutes the summary performance record for the response.</w:t>
      </w:r>
    </w:p>
    <w:p w:rsidR="00D24ADE" w:rsidRDefault="00D24ADE" w:rsidP="00D24ADE">
      <w:pPr>
        <w:pStyle w:val="ListParagraph"/>
        <w:numPr>
          <w:ilvl w:val="1"/>
          <w:numId w:val="16"/>
        </w:numPr>
        <w:spacing w:after="120"/>
        <w:ind w:left="709" w:hanging="284"/>
        <w:rPr>
          <w:rFonts w:ascii="Arial" w:hAnsi="Arial" w:cs="Arial"/>
          <w:b/>
          <w:bCs/>
        </w:rPr>
      </w:pPr>
      <w:r>
        <w:rPr>
          <w:rFonts w:ascii="Arial" w:hAnsi="Arial" w:cs="Arial"/>
        </w:rPr>
        <w:t xml:space="preserve">CEG follows up with CO and other relevant parts of CARE on the findings and recommendations of the RAR.   </w:t>
      </w:r>
    </w:p>
    <w:p w:rsidR="00307DB0" w:rsidRPr="00BC14CE" w:rsidRDefault="00307DB0" w:rsidP="00D24ADE">
      <w:pPr>
        <w:spacing w:after="120"/>
        <w:rPr>
          <w:rFonts w:cs="Arial"/>
        </w:rPr>
      </w:pPr>
    </w:p>
    <w:sectPr w:rsidR="00307DB0" w:rsidRPr="00BC14CE" w:rsidSect="004E060D">
      <w:headerReference w:type="default" r:id="rId11"/>
      <w:footerReference w:type="default" r:id="rId12"/>
      <w:pgSz w:w="11906" w:h="16838"/>
      <w:pgMar w:top="720" w:right="849"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53" w:rsidRDefault="00945053" w:rsidP="0018544D">
      <w:pPr>
        <w:spacing w:after="0" w:line="240" w:lineRule="auto"/>
      </w:pPr>
      <w:r>
        <w:separator/>
      </w:r>
    </w:p>
  </w:endnote>
  <w:endnote w:type="continuationSeparator" w:id="0">
    <w:p w:rsidR="00945053" w:rsidRDefault="00945053" w:rsidP="0018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0CB" w:rsidRPr="00D86229" w:rsidRDefault="00CB60CB" w:rsidP="00D86229">
    <w:pPr>
      <w:pStyle w:val="Footer"/>
      <w:pBdr>
        <w:top w:val="thinThickSmallGap" w:sz="24" w:space="1" w:color="E36C0A"/>
      </w:pBdr>
      <w:tabs>
        <w:tab w:val="clear" w:pos="4513"/>
        <w:tab w:val="clear" w:pos="9026"/>
        <w:tab w:val="right" w:pos="9072"/>
        <w:tab w:val="right" w:pos="10466"/>
      </w:tabs>
      <w:rPr>
        <w:rFonts w:ascii="Cambria" w:eastAsia="Times New Roman" w:hAnsi="Cambria"/>
      </w:rPr>
    </w:pPr>
    <w:r w:rsidRPr="00BC14CE">
      <w:rPr>
        <w:rFonts w:ascii="Cambria" w:eastAsia="Times New Roman" w:hAnsi="Cambria"/>
      </w:rPr>
      <w:tab/>
      <w:t xml:space="preserve">Page </w:t>
    </w:r>
    <w:r w:rsidRPr="00BC14CE">
      <w:rPr>
        <w:rFonts w:eastAsia="Times New Roman"/>
      </w:rPr>
      <w:fldChar w:fldCharType="begin"/>
    </w:r>
    <w:r>
      <w:instrText xml:space="preserve"> PAGE   \* MERGEFORMAT </w:instrText>
    </w:r>
    <w:r w:rsidRPr="00BC14CE">
      <w:rPr>
        <w:rFonts w:eastAsia="Times New Roman"/>
      </w:rPr>
      <w:fldChar w:fldCharType="separate"/>
    </w:r>
    <w:r w:rsidR="00F13C7B" w:rsidRPr="00F13C7B">
      <w:rPr>
        <w:rFonts w:ascii="Cambria" w:eastAsia="Times New Roman" w:hAnsi="Cambria"/>
        <w:noProof/>
      </w:rPr>
      <w:t>2</w:t>
    </w:r>
    <w:r w:rsidRPr="00BC14CE">
      <w:rPr>
        <w:rFonts w:ascii="Cambria" w:eastAsia="Times New Roman"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53" w:rsidRDefault="00945053" w:rsidP="0018544D">
      <w:pPr>
        <w:spacing w:after="0" w:line="240" w:lineRule="auto"/>
      </w:pPr>
      <w:r>
        <w:separator/>
      </w:r>
    </w:p>
  </w:footnote>
  <w:footnote w:type="continuationSeparator" w:id="0">
    <w:p w:rsidR="00945053" w:rsidRDefault="00945053" w:rsidP="0018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0CB" w:rsidRPr="00800F10" w:rsidRDefault="00D24ADE" w:rsidP="007F04C3">
    <w:pPr>
      <w:pStyle w:val="Header"/>
      <w:pBdr>
        <w:bottom w:val="single" w:sz="18" w:space="1" w:color="E36C0A"/>
      </w:pBdr>
      <w:tabs>
        <w:tab w:val="clear" w:pos="4513"/>
        <w:tab w:val="clear" w:pos="9026"/>
        <w:tab w:val="left" w:pos="0"/>
        <w:tab w:val="center" w:pos="4536"/>
        <w:tab w:val="right" w:pos="9214"/>
        <w:tab w:val="right" w:pos="10348"/>
      </w:tabs>
      <w:rPr>
        <w:lang w:val="de-DE"/>
      </w:rPr>
    </w:pPr>
    <w:r>
      <w:rPr>
        <w:lang w:val="de-DE"/>
      </w:rPr>
      <w:t>RAR</w:t>
    </w:r>
    <w:r w:rsidR="00CB60CB">
      <w:rPr>
        <w:lang w:val="de-DE"/>
      </w:rPr>
      <w:t xml:space="preserve"> </w:t>
    </w:r>
    <w:proofErr w:type="spellStart"/>
    <w:r w:rsidR="00CB60CB">
      <w:rPr>
        <w:lang w:val="de-DE"/>
      </w:rPr>
      <w:t>Guidance</w:t>
    </w:r>
    <w:proofErr w:type="spellEnd"/>
    <w:r w:rsidR="00CB60CB">
      <w:rPr>
        <w:lang w:val="de-DE"/>
      </w:rPr>
      <w:tab/>
    </w:r>
    <w:r w:rsidR="004A6C02">
      <w:rPr>
        <w:lang w:val="de-DE"/>
      </w:rPr>
      <w:tab/>
    </w:r>
    <w:r w:rsidR="00BA00DB">
      <w:rPr>
        <w:lang w:val="de-DE"/>
      </w:rPr>
      <w:t>update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D523C6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F14AAD"/>
    <w:multiLevelType w:val="hybridMultilevel"/>
    <w:tmpl w:val="29EE1B7A"/>
    <w:lvl w:ilvl="0" w:tplc="08090009">
      <w:start w:val="1"/>
      <w:numFmt w:val="bullet"/>
      <w:lvlText w:val=""/>
      <w:lvlJc w:val="left"/>
      <w:pPr>
        <w:ind w:left="502"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DC868BB0">
      <w:start w:val="3"/>
      <w:numFmt w:val="bullet"/>
      <w:lvlText w:val="-"/>
      <w:lvlJc w:val="left"/>
      <w:pPr>
        <w:ind w:left="3240" w:hanging="360"/>
      </w:pPr>
      <w:rPr>
        <w:rFonts w:ascii="Calibri" w:eastAsia="Times New Roman" w:hAnsi="Calibri"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C1587"/>
    <w:multiLevelType w:val="hybridMultilevel"/>
    <w:tmpl w:val="605E595C"/>
    <w:lvl w:ilvl="0" w:tplc="338CE706">
      <w:start w:val="7"/>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F4E5A"/>
    <w:multiLevelType w:val="hybridMultilevel"/>
    <w:tmpl w:val="D9145A74"/>
    <w:lvl w:ilvl="0" w:tplc="08090009">
      <w:start w:val="1"/>
      <w:numFmt w:val="bullet"/>
      <w:lvlText w:val=""/>
      <w:lvlJc w:val="left"/>
      <w:pPr>
        <w:ind w:left="2140" w:hanging="360"/>
      </w:pPr>
      <w:rPr>
        <w:rFonts w:ascii="Wingdings" w:hAnsi="Wingdings" w:hint="default"/>
      </w:rPr>
    </w:lvl>
    <w:lvl w:ilvl="1" w:tplc="08090003">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4" w15:restartNumberingAfterBreak="0">
    <w:nsid w:val="088B6E5C"/>
    <w:multiLevelType w:val="hybridMultilevel"/>
    <w:tmpl w:val="30C8D966"/>
    <w:lvl w:ilvl="0" w:tplc="F64A295A">
      <w:numFmt w:val="bullet"/>
      <w:lvlText w:val="-"/>
      <w:lvlJc w:val="left"/>
      <w:pPr>
        <w:tabs>
          <w:tab w:val="num" w:pos="360"/>
        </w:tabs>
        <w:ind w:left="360" w:hanging="360"/>
      </w:pPr>
      <w:rPr>
        <w:rFonts w:ascii="Calibri" w:hAnsi="Calibri" w:cs="Helv" w:hint="default"/>
        <w:b/>
        <w:i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A12666"/>
    <w:multiLevelType w:val="hybridMultilevel"/>
    <w:tmpl w:val="91D04BF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DC868BB0">
      <w:start w:val="3"/>
      <w:numFmt w:val="bullet"/>
      <w:lvlText w:val="-"/>
      <w:lvlJc w:val="left"/>
      <w:pPr>
        <w:ind w:left="3240" w:hanging="360"/>
      </w:pPr>
      <w:rPr>
        <w:rFonts w:ascii="Calibri" w:eastAsia="Times New Roman" w:hAnsi="Calibri"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5E3A11"/>
    <w:multiLevelType w:val="hybridMultilevel"/>
    <w:tmpl w:val="96FA7990"/>
    <w:lvl w:ilvl="0" w:tplc="08090017">
      <w:start w:val="1"/>
      <w:numFmt w:val="lowerLetter"/>
      <w:lvlText w:val="%1)"/>
      <w:lvlJc w:val="left"/>
      <w:pPr>
        <w:ind w:left="360" w:hanging="360"/>
      </w:pPr>
      <w:rPr>
        <w:rFonts w:hint="default"/>
      </w:rPr>
    </w:lvl>
    <w:lvl w:ilvl="1" w:tplc="08090009">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1D3A66"/>
    <w:multiLevelType w:val="hybridMultilevel"/>
    <w:tmpl w:val="12603FEA"/>
    <w:lvl w:ilvl="0" w:tplc="08090005">
      <w:start w:val="1"/>
      <w:numFmt w:val="bullet"/>
      <w:lvlText w:val=""/>
      <w:lvlJc w:val="left"/>
      <w:pPr>
        <w:ind w:left="2140" w:hanging="360"/>
      </w:pPr>
      <w:rPr>
        <w:rFonts w:ascii="Wingdings" w:hAnsi="Wingdings" w:hint="default"/>
      </w:rPr>
    </w:lvl>
    <w:lvl w:ilvl="1" w:tplc="08090003">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8" w15:restartNumberingAfterBreak="0">
    <w:nsid w:val="18F107BF"/>
    <w:multiLevelType w:val="hybridMultilevel"/>
    <w:tmpl w:val="D3922D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26401"/>
    <w:multiLevelType w:val="hybridMultilevel"/>
    <w:tmpl w:val="954874F4"/>
    <w:lvl w:ilvl="0" w:tplc="08090001">
      <w:start w:val="1"/>
      <w:numFmt w:val="bullet"/>
      <w:lvlText w:val=""/>
      <w:lvlJc w:val="left"/>
      <w:pPr>
        <w:ind w:left="859" w:hanging="360"/>
      </w:pPr>
      <w:rPr>
        <w:rFonts w:ascii="Symbol" w:hAnsi="Symbol" w:hint="default"/>
      </w:rPr>
    </w:lvl>
    <w:lvl w:ilvl="1" w:tplc="08090005">
      <w:start w:val="1"/>
      <w:numFmt w:val="bullet"/>
      <w:lvlText w:val=""/>
      <w:lvlJc w:val="left"/>
      <w:pPr>
        <w:ind w:left="2157" w:hanging="360"/>
      </w:pPr>
      <w:rPr>
        <w:rFonts w:ascii="Wingdings" w:hAnsi="Wingdings" w:hint="default"/>
      </w:rPr>
    </w:lvl>
    <w:lvl w:ilvl="2" w:tplc="08090005">
      <w:start w:val="1"/>
      <w:numFmt w:val="bullet"/>
      <w:lvlText w:val=""/>
      <w:lvlJc w:val="left"/>
      <w:pPr>
        <w:ind w:left="2877" w:hanging="360"/>
      </w:pPr>
      <w:rPr>
        <w:rFonts w:ascii="Wingdings" w:hAnsi="Wingdings" w:hint="default"/>
      </w:rPr>
    </w:lvl>
    <w:lvl w:ilvl="3" w:tplc="DC868BB0">
      <w:start w:val="3"/>
      <w:numFmt w:val="bullet"/>
      <w:lvlText w:val="-"/>
      <w:lvlJc w:val="left"/>
      <w:pPr>
        <w:ind w:left="3597" w:hanging="360"/>
      </w:pPr>
      <w:rPr>
        <w:rFonts w:ascii="Calibri" w:eastAsia="Times New Roman" w:hAnsi="Calibri" w:hint="default"/>
        <w:b/>
      </w:rPr>
    </w:lvl>
    <w:lvl w:ilvl="4" w:tplc="08090003" w:tentative="1">
      <w:start w:val="1"/>
      <w:numFmt w:val="bullet"/>
      <w:lvlText w:val="o"/>
      <w:lvlJc w:val="left"/>
      <w:pPr>
        <w:ind w:left="4317" w:hanging="360"/>
      </w:pPr>
      <w:rPr>
        <w:rFonts w:ascii="Courier New" w:hAnsi="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0" w15:restartNumberingAfterBreak="0">
    <w:nsid w:val="4CA50A34"/>
    <w:multiLevelType w:val="multilevel"/>
    <w:tmpl w:val="A0183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B9501C"/>
    <w:multiLevelType w:val="hybridMultilevel"/>
    <w:tmpl w:val="89FCEE36"/>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06ED0"/>
    <w:multiLevelType w:val="hybridMultilevel"/>
    <w:tmpl w:val="F38CEE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A47AB"/>
    <w:multiLevelType w:val="hybridMultilevel"/>
    <w:tmpl w:val="78B07D94"/>
    <w:lvl w:ilvl="0" w:tplc="08090005">
      <w:start w:val="1"/>
      <w:numFmt w:val="bullet"/>
      <w:lvlText w:val=""/>
      <w:lvlJc w:val="left"/>
      <w:pPr>
        <w:ind w:left="859" w:hanging="360"/>
      </w:pPr>
      <w:rPr>
        <w:rFonts w:ascii="Wingdings" w:hAnsi="Wingdings" w:hint="default"/>
      </w:rPr>
    </w:lvl>
    <w:lvl w:ilvl="1" w:tplc="08090005">
      <w:start w:val="1"/>
      <w:numFmt w:val="bullet"/>
      <w:lvlText w:val=""/>
      <w:lvlJc w:val="left"/>
      <w:pPr>
        <w:ind w:left="2157" w:hanging="360"/>
      </w:pPr>
      <w:rPr>
        <w:rFonts w:ascii="Wingdings" w:hAnsi="Wingdings" w:hint="default"/>
      </w:rPr>
    </w:lvl>
    <w:lvl w:ilvl="2" w:tplc="08090005">
      <w:start w:val="1"/>
      <w:numFmt w:val="bullet"/>
      <w:lvlText w:val=""/>
      <w:lvlJc w:val="left"/>
      <w:pPr>
        <w:ind w:left="2877" w:hanging="360"/>
      </w:pPr>
      <w:rPr>
        <w:rFonts w:ascii="Wingdings" w:hAnsi="Wingdings" w:hint="default"/>
      </w:rPr>
    </w:lvl>
    <w:lvl w:ilvl="3" w:tplc="DC868BB0">
      <w:start w:val="3"/>
      <w:numFmt w:val="bullet"/>
      <w:lvlText w:val="-"/>
      <w:lvlJc w:val="left"/>
      <w:pPr>
        <w:ind w:left="3597" w:hanging="360"/>
      </w:pPr>
      <w:rPr>
        <w:rFonts w:ascii="Calibri" w:eastAsia="Times New Roman" w:hAnsi="Calibri" w:hint="default"/>
        <w:b/>
      </w:rPr>
    </w:lvl>
    <w:lvl w:ilvl="4" w:tplc="08090003" w:tentative="1">
      <w:start w:val="1"/>
      <w:numFmt w:val="bullet"/>
      <w:lvlText w:val="o"/>
      <w:lvlJc w:val="left"/>
      <w:pPr>
        <w:ind w:left="4317" w:hanging="360"/>
      </w:pPr>
      <w:rPr>
        <w:rFonts w:ascii="Courier New" w:hAnsi="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0"/>
  </w:num>
  <w:num w:numId="2">
    <w:abstractNumId w:val="0"/>
  </w:num>
  <w:num w:numId="3">
    <w:abstractNumId w:val="5"/>
  </w:num>
  <w:num w:numId="4">
    <w:abstractNumId w:val="2"/>
  </w:num>
  <w:num w:numId="5">
    <w:abstractNumId w:val="3"/>
  </w:num>
  <w:num w:numId="6">
    <w:abstractNumId w:val="9"/>
  </w:num>
  <w:num w:numId="7">
    <w:abstractNumId w:val="13"/>
  </w:num>
  <w:num w:numId="8">
    <w:abstractNumId w:val="1"/>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6"/>
  </w:num>
  <w:num w:numId="14">
    <w:abstractNumId w:val="12"/>
  </w:num>
  <w:num w:numId="15">
    <w:abstractNumId w:val="7"/>
  </w:num>
  <w:num w:numId="16">
    <w:abstractNumId w:val="5"/>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5F"/>
    <w:rsid w:val="00005C8D"/>
    <w:rsid w:val="000107B7"/>
    <w:rsid w:val="00010AE6"/>
    <w:rsid w:val="00015455"/>
    <w:rsid w:val="00027CDF"/>
    <w:rsid w:val="00031912"/>
    <w:rsid w:val="00031E28"/>
    <w:rsid w:val="0003387A"/>
    <w:rsid w:val="00044F99"/>
    <w:rsid w:val="00045C51"/>
    <w:rsid w:val="00047CC6"/>
    <w:rsid w:val="00061A14"/>
    <w:rsid w:val="00064AAD"/>
    <w:rsid w:val="0007046B"/>
    <w:rsid w:val="0008112F"/>
    <w:rsid w:val="000914DC"/>
    <w:rsid w:val="00097F27"/>
    <w:rsid w:val="000B148D"/>
    <w:rsid w:val="000C4D4D"/>
    <w:rsid w:val="000C5D34"/>
    <w:rsid w:val="000D136C"/>
    <w:rsid w:val="000D560F"/>
    <w:rsid w:val="000F667D"/>
    <w:rsid w:val="001075FE"/>
    <w:rsid w:val="00127CA9"/>
    <w:rsid w:val="0013273C"/>
    <w:rsid w:val="00140552"/>
    <w:rsid w:val="00145F14"/>
    <w:rsid w:val="00154CC4"/>
    <w:rsid w:val="0018392B"/>
    <w:rsid w:val="0018544D"/>
    <w:rsid w:val="00197979"/>
    <w:rsid w:val="001A074A"/>
    <w:rsid w:val="001A29C5"/>
    <w:rsid w:val="001C326B"/>
    <w:rsid w:val="001C572D"/>
    <w:rsid w:val="001D1B54"/>
    <w:rsid w:val="001E3529"/>
    <w:rsid w:val="001F0209"/>
    <w:rsid w:val="001F24B5"/>
    <w:rsid w:val="00216006"/>
    <w:rsid w:val="002316F0"/>
    <w:rsid w:val="00232946"/>
    <w:rsid w:val="00240A46"/>
    <w:rsid w:val="002554EF"/>
    <w:rsid w:val="002555AE"/>
    <w:rsid w:val="002557C7"/>
    <w:rsid w:val="00260CED"/>
    <w:rsid w:val="002661C0"/>
    <w:rsid w:val="00267C65"/>
    <w:rsid w:val="002755AD"/>
    <w:rsid w:val="0028443D"/>
    <w:rsid w:val="002875ED"/>
    <w:rsid w:val="002B2B7B"/>
    <w:rsid w:val="002B5C5F"/>
    <w:rsid w:val="002B66E1"/>
    <w:rsid w:val="002B7E8B"/>
    <w:rsid w:val="002C4079"/>
    <w:rsid w:val="002C6D11"/>
    <w:rsid w:val="002C7804"/>
    <w:rsid w:val="002C7F60"/>
    <w:rsid w:val="002D5B2F"/>
    <w:rsid w:val="002F54F5"/>
    <w:rsid w:val="00304CF1"/>
    <w:rsid w:val="00305366"/>
    <w:rsid w:val="00306A58"/>
    <w:rsid w:val="003071DB"/>
    <w:rsid w:val="00307DB0"/>
    <w:rsid w:val="003104BC"/>
    <w:rsid w:val="003237C9"/>
    <w:rsid w:val="00324426"/>
    <w:rsid w:val="003551BF"/>
    <w:rsid w:val="003916A1"/>
    <w:rsid w:val="00395773"/>
    <w:rsid w:val="0039772E"/>
    <w:rsid w:val="00397B28"/>
    <w:rsid w:val="003B58AC"/>
    <w:rsid w:val="003C3192"/>
    <w:rsid w:val="003C6A4E"/>
    <w:rsid w:val="003D3D0C"/>
    <w:rsid w:val="003D760A"/>
    <w:rsid w:val="003F13D3"/>
    <w:rsid w:val="003F1D0D"/>
    <w:rsid w:val="00402A58"/>
    <w:rsid w:val="00402FE3"/>
    <w:rsid w:val="00414455"/>
    <w:rsid w:val="0041584E"/>
    <w:rsid w:val="00416329"/>
    <w:rsid w:val="004302DA"/>
    <w:rsid w:val="00437EDA"/>
    <w:rsid w:val="004405AB"/>
    <w:rsid w:val="0045221C"/>
    <w:rsid w:val="004535F9"/>
    <w:rsid w:val="00453E2D"/>
    <w:rsid w:val="0046402D"/>
    <w:rsid w:val="00470535"/>
    <w:rsid w:val="004714F3"/>
    <w:rsid w:val="004736EB"/>
    <w:rsid w:val="00473DBA"/>
    <w:rsid w:val="004746E4"/>
    <w:rsid w:val="004774C8"/>
    <w:rsid w:val="004847C0"/>
    <w:rsid w:val="00484818"/>
    <w:rsid w:val="00486E71"/>
    <w:rsid w:val="004A6C02"/>
    <w:rsid w:val="004B2EB6"/>
    <w:rsid w:val="004B5876"/>
    <w:rsid w:val="004B699F"/>
    <w:rsid w:val="004C773D"/>
    <w:rsid w:val="004D06DC"/>
    <w:rsid w:val="004D116B"/>
    <w:rsid w:val="004D5594"/>
    <w:rsid w:val="004E060D"/>
    <w:rsid w:val="004F7AD7"/>
    <w:rsid w:val="00505A4A"/>
    <w:rsid w:val="00505D25"/>
    <w:rsid w:val="00505DF2"/>
    <w:rsid w:val="0051145C"/>
    <w:rsid w:val="0052026F"/>
    <w:rsid w:val="00522B23"/>
    <w:rsid w:val="00522F50"/>
    <w:rsid w:val="0055043D"/>
    <w:rsid w:val="00553012"/>
    <w:rsid w:val="00570296"/>
    <w:rsid w:val="0057554A"/>
    <w:rsid w:val="005803B7"/>
    <w:rsid w:val="00594EDD"/>
    <w:rsid w:val="005A0372"/>
    <w:rsid w:val="005A35CD"/>
    <w:rsid w:val="005A7C88"/>
    <w:rsid w:val="005B20F7"/>
    <w:rsid w:val="005B50DE"/>
    <w:rsid w:val="005C0D22"/>
    <w:rsid w:val="005C5C06"/>
    <w:rsid w:val="005D0BEF"/>
    <w:rsid w:val="005E6BB1"/>
    <w:rsid w:val="0060097D"/>
    <w:rsid w:val="00601C8B"/>
    <w:rsid w:val="006021B7"/>
    <w:rsid w:val="00610E1E"/>
    <w:rsid w:val="00615A14"/>
    <w:rsid w:val="0062599A"/>
    <w:rsid w:val="00627963"/>
    <w:rsid w:val="006411C5"/>
    <w:rsid w:val="00642FD7"/>
    <w:rsid w:val="006705CD"/>
    <w:rsid w:val="00671D92"/>
    <w:rsid w:val="00683DEE"/>
    <w:rsid w:val="00685DE0"/>
    <w:rsid w:val="0068691B"/>
    <w:rsid w:val="00692233"/>
    <w:rsid w:val="00694C46"/>
    <w:rsid w:val="006A102B"/>
    <w:rsid w:val="006A51F9"/>
    <w:rsid w:val="006B0727"/>
    <w:rsid w:val="006D24A8"/>
    <w:rsid w:val="006D4F59"/>
    <w:rsid w:val="006E0EA9"/>
    <w:rsid w:val="006E2B59"/>
    <w:rsid w:val="006F1023"/>
    <w:rsid w:val="006F188F"/>
    <w:rsid w:val="006F4D91"/>
    <w:rsid w:val="006F5280"/>
    <w:rsid w:val="006F58CC"/>
    <w:rsid w:val="007059E8"/>
    <w:rsid w:val="00717C09"/>
    <w:rsid w:val="007225B4"/>
    <w:rsid w:val="00723558"/>
    <w:rsid w:val="00723BA4"/>
    <w:rsid w:val="007253B6"/>
    <w:rsid w:val="00736455"/>
    <w:rsid w:val="00746299"/>
    <w:rsid w:val="00753B58"/>
    <w:rsid w:val="00753D90"/>
    <w:rsid w:val="00767901"/>
    <w:rsid w:val="007720E7"/>
    <w:rsid w:val="00775B54"/>
    <w:rsid w:val="00780548"/>
    <w:rsid w:val="00793C32"/>
    <w:rsid w:val="007A0624"/>
    <w:rsid w:val="007A55D2"/>
    <w:rsid w:val="007B576A"/>
    <w:rsid w:val="007E0C0B"/>
    <w:rsid w:val="007F04C3"/>
    <w:rsid w:val="007F3DCE"/>
    <w:rsid w:val="00800263"/>
    <w:rsid w:val="00800F10"/>
    <w:rsid w:val="00804324"/>
    <w:rsid w:val="008047FB"/>
    <w:rsid w:val="00822511"/>
    <w:rsid w:val="008406F6"/>
    <w:rsid w:val="00843522"/>
    <w:rsid w:val="00843FE7"/>
    <w:rsid w:val="0085199E"/>
    <w:rsid w:val="00852C60"/>
    <w:rsid w:val="00854EF1"/>
    <w:rsid w:val="00856F16"/>
    <w:rsid w:val="00863C07"/>
    <w:rsid w:val="00866FBA"/>
    <w:rsid w:val="00871A61"/>
    <w:rsid w:val="008726E1"/>
    <w:rsid w:val="0087356B"/>
    <w:rsid w:val="0088278E"/>
    <w:rsid w:val="0088539E"/>
    <w:rsid w:val="00891F86"/>
    <w:rsid w:val="00894D8E"/>
    <w:rsid w:val="008C3568"/>
    <w:rsid w:val="008D349F"/>
    <w:rsid w:val="008E768E"/>
    <w:rsid w:val="008F54C5"/>
    <w:rsid w:val="0090092A"/>
    <w:rsid w:val="00903361"/>
    <w:rsid w:val="009065C9"/>
    <w:rsid w:val="0091015A"/>
    <w:rsid w:val="009143C1"/>
    <w:rsid w:val="00941F23"/>
    <w:rsid w:val="00942246"/>
    <w:rsid w:val="00945053"/>
    <w:rsid w:val="009517B1"/>
    <w:rsid w:val="00954F0D"/>
    <w:rsid w:val="009566FF"/>
    <w:rsid w:val="00960600"/>
    <w:rsid w:val="009658B3"/>
    <w:rsid w:val="00982FE3"/>
    <w:rsid w:val="00984F04"/>
    <w:rsid w:val="009A1DBC"/>
    <w:rsid w:val="009A688F"/>
    <w:rsid w:val="009C3155"/>
    <w:rsid w:val="009D0B5C"/>
    <w:rsid w:val="009D5E33"/>
    <w:rsid w:val="009F342F"/>
    <w:rsid w:val="009F4048"/>
    <w:rsid w:val="009F40F4"/>
    <w:rsid w:val="00A0021A"/>
    <w:rsid w:val="00A061DA"/>
    <w:rsid w:val="00A23923"/>
    <w:rsid w:val="00A3045F"/>
    <w:rsid w:val="00A304F3"/>
    <w:rsid w:val="00A308EB"/>
    <w:rsid w:val="00A33A51"/>
    <w:rsid w:val="00A42208"/>
    <w:rsid w:val="00A55732"/>
    <w:rsid w:val="00A66F3E"/>
    <w:rsid w:val="00A671EC"/>
    <w:rsid w:val="00A726E2"/>
    <w:rsid w:val="00A77978"/>
    <w:rsid w:val="00AA4C3C"/>
    <w:rsid w:val="00AB1CA9"/>
    <w:rsid w:val="00AC4359"/>
    <w:rsid w:val="00AD43C7"/>
    <w:rsid w:val="00AE13C2"/>
    <w:rsid w:val="00AE544B"/>
    <w:rsid w:val="00AE5AF7"/>
    <w:rsid w:val="00AF1512"/>
    <w:rsid w:val="00AF286A"/>
    <w:rsid w:val="00AF42F0"/>
    <w:rsid w:val="00AF64A4"/>
    <w:rsid w:val="00B04BC3"/>
    <w:rsid w:val="00B07754"/>
    <w:rsid w:val="00B07B1F"/>
    <w:rsid w:val="00B12AF8"/>
    <w:rsid w:val="00B13DEE"/>
    <w:rsid w:val="00B3129D"/>
    <w:rsid w:val="00B423CA"/>
    <w:rsid w:val="00B54CBF"/>
    <w:rsid w:val="00B61531"/>
    <w:rsid w:val="00B63A73"/>
    <w:rsid w:val="00B63D98"/>
    <w:rsid w:val="00B7062A"/>
    <w:rsid w:val="00B814FB"/>
    <w:rsid w:val="00B83828"/>
    <w:rsid w:val="00B91D64"/>
    <w:rsid w:val="00B9744C"/>
    <w:rsid w:val="00BA00DB"/>
    <w:rsid w:val="00BA1F36"/>
    <w:rsid w:val="00BA3F3B"/>
    <w:rsid w:val="00BC14CE"/>
    <w:rsid w:val="00BC24DC"/>
    <w:rsid w:val="00BD0C24"/>
    <w:rsid w:val="00BD0DD4"/>
    <w:rsid w:val="00BF4BF2"/>
    <w:rsid w:val="00BF7F83"/>
    <w:rsid w:val="00C2005C"/>
    <w:rsid w:val="00C278AA"/>
    <w:rsid w:val="00C32B17"/>
    <w:rsid w:val="00C3381A"/>
    <w:rsid w:val="00C46B9D"/>
    <w:rsid w:val="00C6501B"/>
    <w:rsid w:val="00C856D0"/>
    <w:rsid w:val="00C86D90"/>
    <w:rsid w:val="00C971E7"/>
    <w:rsid w:val="00CA26A5"/>
    <w:rsid w:val="00CA4FFF"/>
    <w:rsid w:val="00CB3040"/>
    <w:rsid w:val="00CB60CB"/>
    <w:rsid w:val="00CC03D8"/>
    <w:rsid w:val="00CC42DC"/>
    <w:rsid w:val="00CD4820"/>
    <w:rsid w:val="00CE1652"/>
    <w:rsid w:val="00CE30E8"/>
    <w:rsid w:val="00CE6AC6"/>
    <w:rsid w:val="00CE6F86"/>
    <w:rsid w:val="00CF11A0"/>
    <w:rsid w:val="00D01526"/>
    <w:rsid w:val="00D113E5"/>
    <w:rsid w:val="00D11E19"/>
    <w:rsid w:val="00D14D1F"/>
    <w:rsid w:val="00D15F72"/>
    <w:rsid w:val="00D17012"/>
    <w:rsid w:val="00D24ADE"/>
    <w:rsid w:val="00D26A72"/>
    <w:rsid w:val="00D316D5"/>
    <w:rsid w:val="00D33104"/>
    <w:rsid w:val="00D354D7"/>
    <w:rsid w:val="00D40056"/>
    <w:rsid w:val="00D42EDD"/>
    <w:rsid w:val="00D840FA"/>
    <w:rsid w:val="00D86229"/>
    <w:rsid w:val="00D91FB7"/>
    <w:rsid w:val="00D97517"/>
    <w:rsid w:val="00D97EC1"/>
    <w:rsid w:val="00DA3676"/>
    <w:rsid w:val="00DA5854"/>
    <w:rsid w:val="00DA77B5"/>
    <w:rsid w:val="00DA7B79"/>
    <w:rsid w:val="00DB4D87"/>
    <w:rsid w:val="00DC22AA"/>
    <w:rsid w:val="00DD2D97"/>
    <w:rsid w:val="00DD4DB9"/>
    <w:rsid w:val="00DD5990"/>
    <w:rsid w:val="00DE5E11"/>
    <w:rsid w:val="00DE6F86"/>
    <w:rsid w:val="00DF378E"/>
    <w:rsid w:val="00E05441"/>
    <w:rsid w:val="00E05B5D"/>
    <w:rsid w:val="00E13D6F"/>
    <w:rsid w:val="00E143FE"/>
    <w:rsid w:val="00E2247C"/>
    <w:rsid w:val="00E31744"/>
    <w:rsid w:val="00E37C8D"/>
    <w:rsid w:val="00E40C35"/>
    <w:rsid w:val="00E51B11"/>
    <w:rsid w:val="00E552DA"/>
    <w:rsid w:val="00E62C03"/>
    <w:rsid w:val="00E76D89"/>
    <w:rsid w:val="00E779BB"/>
    <w:rsid w:val="00E82DF9"/>
    <w:rsid w:val="00E85098"/>
    <w:rsid w:val="00EA713E"/>
    <w:rsid w:val="00EA73DF"/>
    <w:rsid w:val="00EB373E"/>
    <w:rsid w:val="00EB4C50"/>
    <w:rsid w:val="00EB5301"/>
    <w:rsid w:val="00EC0934"/>
    <w:rsid w:val="00ED0125"/>
    <w:rsid w:val="00ED0552"/>
    <w:rsid w:val="00ED61AA"/>
    <w:rsid w:val="00EF3AB9"/>
    <w:rsid w:val="00EF7FC6"/>
    <w:rsid w:val="00F0011D"/>
    <w:rsid w:val="00F10A73"/>
    <w:rsid w:val="00F12293"/>
    <w:rsid w:val="00F13C7B"/>
    <w:rsid w:val="00F23C25"/>
    <w:rsid w:val="00F350A2"/>
    <w:rsid w:val="00F641AD"/>
    <w:rsid w:val="00F64CCB"/>
    <w:rsid w:val="00F7280E"/>
    <w:rsid w:val="00F8506F"/>
    <w:rsid w:val="00F9015E"/>
    <w:rsid w:val="00FA04E0"/>
    <w:rsid w:val="00FA288C"/>
    <w:rsid w:val="00FA42F5"/>
    <w:rsid w:val="00FB0D7D"/>
    <w:rsid w:val="00FC76E4"/>
    <w:rsid w:val="00FD71DC"/>
    <w:rsid w:val="00FE0FE7"/>
    <w:rsid w:val="00FE4294"/>
    <w:rsid w:val="00FF465F"/>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8650B5-651B-41CA-944D-506D1C88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2F"/>
    <w:pPr>
      <w:spacing w:after="200" w:line="276" w:lineRule="auto"/>
    </w:pPr>
    <w:rPr>
      <w:sz w:val="22"/>
      <w:szCs w:val="22"/>
      <w:lang w:eastAsia="en-US"/>
    </w:rPr>
  </w:style>
  <w:style w:type="paragraph" w:styleId="Heading1">
    <w:name w:val="heading 1"/>
    <w:basedOn w:val="Normal"/>
    <w:next w:val="Normal"/>
    <w:link w:val="Heading1Char"/>
    <w:uiPriority w:val="99"/>
    <w:qFormat/>
    <w:rsid w:val="001A074A"/>
    <w:pPr>
      <w:keepNext/>
      <w:spacing w:after="0" w:line="240" w:lineRule="auto"/>
      <w:outlineLvl w:val="0"/>
    </w:pPr>
    <w:rPr>
      <w:rFonts w:ascii="Times New Roman" w:eastAsia="Times New Roman" w:hAnsi="Times New Roman"/>
      <w:b/>
      <w:bCs/>
      <w:sz w:val="24"/>
      <w:szCs w:val="24"/>
      <w:u w:val="single"/>
      <w:lang w:val="en-US"/>
    </w:rPr>
  </w:style>
  <w:style w:type="paragraph" w:styleId="Heading2">
    <w:name w:val="heading 2"/>
    <w:basedOn w:val="Normal"/>
    <w:next w:val="Normal"/>
    <w:link w:val="Heading2Char"/>
    <w:uiPriority w:val="99"/>
    <w:qFormat/>
    <w:rsid w:val="0023294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A074A"/>
    <w:pPr>
      <w:keepNext/>
      <w:spacing w:after="0" w:line="240" w:lineRule="auto"/>
      <w:jc w:val="center"/>
      <w:outlineLvl w:val="2"/>
    </w:pPr>
    <w:rPr>
      <w:rFonts w:ascii="Times New Roman" w:eastAsia="Times New Roman" w:hAnsi="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074A"/>
    <w:rPr>
      <w:rFonts w:ascii="Times New Roman" w:hAnsi="Times New Roman" w:cs="Times New Roman"/>
      <w:b/>
      <w:bCs/>
      <w:sz w:val="24"/>
      <w:szCs w:val="24"/>
      <w:u w:val="single"/>
      <w:lang w:val="en-US"/>
    </w:rPr>
  </w:style>
  <w:style w:type="character" w:customStyle="1" w:styleId="Heading2Char">
    <w:name w:val="Heading 2 Char"/>
    <w:link w:val="Heading2"/>
    <w:uiPriority w:val="99"/>
    <w:semiHidden/>
    <w:locked/>
    <w:rsid w:val="00232946"/>
    <w:rPr>
      <w:rFonts w:ascii="Cambria" w:hAnsi="Cambria" w:cs="Times New Roman"/>
      <w:b/>
      <w:bCs/>
      <w:color w:val="4F81BD"/>
      <w:sz w:val="26"/>
      <w:szCs w:val="26"/>
    </w:rPr>
  </w:style>
  <w:style w:type="character" w:customStyle="1" w:styleId="Heading3Char">
    <w:name w:val="Heading 3 Char"/>
    <w:link w:val="Heading3"/>
    <w:uiPriority w:val="99"/>
    <w:locked/>
    <w:rsid w:val="001A074A"/>
    <w:rPr>
      <w:rFonts w:ascii="Times New Roman" w:hAnsi="Times New Roman" w:cs="Times New Roman"/>
      <w:b/>
      <w:bCs/>
      <w:sz w:val="24"/>
      <w:szCs w:val="24"/>
      <w:lang w:val="en-US"/>
    </w:rPr>
  </w:style>
  <w:style w:type="table" w:styleId="TableGrid">
    <w:name w:val="Table Grid"/>
    <w:basedOn w:val="TableNormal"/>
    <w:uiPriority w:val="99"/>
    <w:rsid w:val="00A30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3045F"/>
    <w:pPr>
      <w:ind w:left="720"/>
      <w:contextualSpacing/>
    </w:pPr>
  </w:style>
  <w:style w:type="paragraph" w:styleId="Title">
    <w:name w:val="Title"/>
    <w:basedOn w:val="Normal"/>
    <w:link w:val="TitleChar"/>
    <w:uiPriority w:val="99"/>
    <w:qFormat/>
    <w:rsid w:val="003104BC"/>
    <w:pPr>
      <w:spacing w:after="0" w:line="240" w:lineRule="auto"/>
      <w:jc w:val="center"/>
    </w:pPr>
    <w:rPr>
      <w:rFonts w:ascii="Arial" w:eastAsia="Times New Roman" w:hAnsi="Arial" w:cs="Arial"/>
      <w:b/>
      <w:bCs/>
      <w:szCs w:val="24"/>
      <w:u w:val="single"/>
      <w:lang w:val="en-US" w:eastAsia="de-DE"/>
    </w:rPr>
  </w:style>
  <w:style w:type="character" w:customStyle="1" w:styleId="TitleChar">
    <w:name w:val="Title Char"/>
    <w:link w:val="Title"/>
    <w:uiPriority w:val="99"/>
    <w:locked/>
    <w:rsid w:val="003104BC"/>
    <w:rPr>
      <w:rFonts w:ascii="Arial" w:hAnsi="Arial" w:cs="Arial"/>
      <w:b/>
      <w:bCs/>
      <w:sz w:val="24"/>
      <w:szCs w:val="24"/>
      <w:u w:val="single"/>
      <w:lang w:val="en-US" w:eastAsia="de-DE"/>
    </w:rPr>
  </w:style>
  <w:style w:type="character" w:customStyle="1" w:styleId="EmailStyle22">
    <w:name w:val="EmailStyle22"/>
    <w:uiPriority w:val="99"/>
    <w:semiHidden/>
    <w:rsid w:val="00E779BB"/>
    <w:rPr>
      <w:rFonts w:ascii="Arial" w:hAnsi="Arial" w:cs="Arial"/>
      <w:color w:val="000080"/>
      <w:sz w:val="20"/>
      <w:szCs w:val="20"/>
    </w:rPr>
  </w:style>
  <w:style w:type="paragraph" w:customStyle="1" w:styleId="Default">
    <w:name w:val="Default"/>
    <w:uiPriority w:val="99"/>
    <w:rsid w:val="006A51F9"/>
    <w:pPr>
      <w:autoSpaceDE w:val="0"/>
      <w:autoSpaceDN w:val="0"/>
      <w:adjustRightInd w:val="0"/>
    </w:pPr>
    <w:rPr>
      <w:rFonts w:ascii="Arial" w:hAnsi="Arial" w:cs="Arial"/>
      <w:color w:val="000000"/>
      <w:sz w:val="24"/>
      <w:szCs w:val="24"/>
      <w:lang w:eastAsia="en-US"/>
    </w:rPr>
  </w:style>
  <w:style w:type="character" w:styleId="FootnoteReference">
    <w:name w:val="footnote reference"/>
    <w:uiPriority w:val="99"/>
    <w:semiHidden/>
    <w:rsid w:val="0018544D"/>
    <w:rPr>
      <w:rFonts w:cs="Times New Roman"/>
      <w:vertAlign w:val="superscript"/>
    </w:rPr>
  </w:style>
  <w:style w:type="character" w:styleId="Hyperlink">
    <w:name w:val="Hyperlink"/>
    <w:uiPriority w:val="99"/>
    <w:rsid w:val="000D136C"/>
    <w:rPr>
      <w:rFonts w:cs="Times New Roman"/>
      <w:color w:val="0000FF"/>
      <w:u w:val="single"/>
    </w:rPr>
  </w:style>
  <w:style w:type="paragraph" w:styleId="ListBullet2">
    <w:name w:val="List Bullet 2"/>
    <w:basedOn w:val="Normal"/>
    <w:uiPriority w:val="99"/>
    <w:rsid w:val="00866FBA"/>
    <w:pPr>
      <w:tabs>
        <w:tab w:val="num" w:pos="720"/>
        <w:tab w:val="num" w:pos="1080"/>
      </w:tabs>
      <w:spacing w:after="0" w:line="240" w:lineRule="auto"/>
      <w:ind w:left="720" w:hanging="360"/>
    </w:pPr>
    <w:rPr>
      <w:rFonts w:ascii="Times New Roman" w:eastAsia="Times New Roman" w:hAnsi="Times New Roman"/>
      <w:sz w:val="24"/>
      <w:szCs w:val="24"/>
      <w:lang w:val="en-US"/>
    </w:rPr>
  </w:style>
  <w:style w:type="paragraph" w:styleId="BodyText">
    <w:name w:val="Body Text"/>
    <w:basedOn w:val="Normal"/>
    <w:link w:val="BodyTextChar"/>
    <w:uiPriority w:val="99"/>
    <w:rsid w:val="00866FBA"/>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99"/>
    <w:locked/>
    <w:rsid w:val="00866FBA"/>
    <w:rPr>
      <w:rFonts w:ascii="Times New Roman" w:hAnsi="Times New Roman" w:cs="Times New Roman"/>
      <w:sz w:val="24"/>
      <w:szCs w:val="24"/>
      <w:lang w:val="en-US"/>
    </w:rPr>
  </w:style>
  <w:style w:type="paragraph" w:styleId="List">
    <w:name w:val="List"/>
    <w:basedOn w:val="Normal"/>
    <w:uiPriority w:val="99"/>
    <w:rsid w:val="00232946"/>
    <w:pPr>
      <w:spacing w:after="0" w:line="240" w:lineRule="auto"/>
      <w:ind w:left="360" w:hanging="360"/>
    </w:pPr>
    <w:rPr>
      <w:rFonts w:ascii="Times New Roman" w:eastAsia="Times New Roman" w:hAnsi="Times New Roman"/>
      <w:sz w:val="24"/>
      <w:szCs w:val="24"/>
      <w:lang w:val="en-US"/>
    </w:rPr>
  </w:style>
  <w:style w:type="character" w:customStyle="1" w:styleId="EmailStyle301">
    <w:name w:val="EmailStyle301"/>
    <w:uiPriority w:val="99"/>
    <w:semiHidden/>
    <w:rsid w:val="00692233"/>
    <w:rPr>
      <w:rFonts w:ascii="Arial" w:hAnsi="Arial" w:cs="Arial"/>
      <w:color w:val="000080"/>
      <w:sz w:val="20"/>
      <w:szCs w:val="20"/>
    </w:rPr>
  </w:style>
  <w:style w:type="paragraph" w:styleId="Header">
    <w:name w:val="header"/>
    <w:basedOn w:val="Normal"/>
    <w:link w:val="HeaderChar"/>
    <w:uiPriority w:val="99"/>
    <w:semiHidden/>
    <w:rsid w:val="00CE6F86"/>
    <w:pPr>
      <w:tabs>
        <w:tab w:val="center" w:pos="4513"/>
        <w:tab w:val="right" w:pos="9026"/>
      </w:tabs>
      <w:spacing w:after="0" w:line="240" w:lineRule="auto"/>
    </w:pPr>
  </w:style>
  <w:style w:type="character" w:customStyle="1" w:styleId="HeaderChar">
    <w:name w:val="Header Char"/>
    <w:link w:val="Header"/>
    <w:uiPriority w:val="99"/>
    <w:semiHidden/>
    <w:locked/>
    <w:rsid w:val="00CE6F86"/>
    <w:rPr>
      <w:rFonts w:cs="Times New Roman"/>
    </w:rPr>
  </w:style>
  <w:style w:type="paragraph" w:styleId="Footer">
    <w:name w:val="footer"/>
    <w:basedOn w:val="Normal"/>
    <w:link w:val="FooterChar"/>
    <w:uiPriority w:val="99"/>
    <w:rsid w:val="00CE6F86"/>
    <w:pPr>
      <w:tabs>
        <w:tab w:val="center" w:pos="4513"/>
        <w:tab w:val="right" w:pos="9026"/>
      </w:tabs>
      <w:spacing w:after="0" w:line="240" w:lineRule="auto"/>
    </w:pPr>
  </w:style>
  <w:style w:type="character" w:customStyle="1" w:styleId="FooterChar">
    <w:name w:val="Footer Char"/>
    <w:link w:val="Footer"/>
    <w:uiPriority w:val="99"/>
    <w:locked/>
    <w:rsid w:val="00CE6F86"/>
    <w:rPr>
      <w:rFonts w:cs="Times New Roman"/>
    </w:rPr>
  </w:style>
  <w:style w:type="paragraph" w:styleId="FootnoteText">
    <w:name w:val="footnote text"/>
    <w:basedOn w:val="Normal"/>
    <w:link w:val="FootnoteTextChar"/>
    <w:uiPriority w:val="99"/>
    <w:semiHidden/>
    <w:rsid w:val="00F9015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locked/>
    <w:rsid w:val="00F9015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C14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14CE"/>
    <w:rPr>
      <w:rFonts w:ascii="Tahoma" w:hAnsi="Tahoma" w:cs="Tahoma"/>
      <w:sz w:val="16"/>
      <w:szCs w:val="16"/>
      <w:lang w:eastAsia="en-US"/>
    </w:rPr>
  </w:style>
  <w:style w:type="character" w:styleId="FollowedHyperlink">
    <w:name w:val="FollowedHyperlink"/>
    <w:basedOn w:val="DefaultParagraphFont"/>
    <w:uiPriority w:val="99"/>
    <w:semiHidden/>
    <w:unhideWhenUsed/>
    <w:rsid w:val="00D86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19580">
      <w:marLeft w:val="0"/>
      <w:marRight w:val="0"/>
      <w:marTop w:val="0"/>
      <w:marBottom w:val="0"/>
      <w:divBdr>
        <w:top w:val="none" w:sz="0" w:space="0" w:color="auto"/>
        <w:left w:val="none" w:sz="0" w:space="0" w:color="auto"/>
        <w:bottom w:val="none" w:sz="0" w:space="0" w:color="auto"/>
        <w:right w:val="none" w:sz="0" w:space="0" w:color="auto"/>
      </w:divBdr>
    </w:div>
    <w:div w:id="1518619582">
      <w:marLeft w:val="0"/>
      <w:marRight w:val="0"/>
      <w:marTop w:val="0"/>
      <w:marBottom w:val="0"/>
      <w:divBdr>
        <w:top w:val="none" w:sz="0" w:space="0" w:color="auto"/>
        <w:left w:val="none" w:sz="0" w:space="0" w:color="auto"/>
        <w:bottom w:val="none" w:sz="0" w:space="0" w:color="auto"/>
        <w:right w:val="none" w:sz="0" w:space="0" w:color="auto"/>
      </w:divBdr>
      <w:divsChild>
        <w:div w:id="1518619590">
          <w:marLeft w:val="0"/>
          <w:marRight w:val="0"/>
          <w:marTop w:val="0"/>
          <w:marBottom w:val="0"/>
          <w:divBdr>
            <w:top w:val="none" w:sz="0" w:space="0" w:color="auto"/>
            <w:left w:val="none" w:sz="0" w:space="0" w:color="auto"/>
            <w:bottom w:val="none" w:sz="0" w:space="0" w:color="auto"/>
            <w:right w:val="none" w:sz="0" w:space="0" w:color="auto"/>
          </w:divBdr>
          <w:divsChild>
            <w:div w:id="1518619585">
              <w:marLeft w:val="0"/>
              <w:marRight w:val="0"/>
              <w:marTop w:val="0"/>
              <w:marBottom w:val="0"/>
              <w:divBdr>
                <w:top w:val="none" w:sz="0" w:space="0" w:color="auto"/>
                <w:left w:val="none" w:sz="0" w:space="0" w:color="auto"/>
                <w:bottom w:val="none" w:sz="0" w:space="0" w:color="auto"/>
                <w:right w:val="none" w:sz="0" w:space="0" w:color="auto"/>
              </w:divBdr>
              <w:divsChild>
                <w:div w:id="1518619581">
                  <w:marLeft w:val="0"/>
                  <w:marRight w:val="0"/>
                  <w:marTop w:val="0"/>
                  <w:marBottom w:val="0"/>
                  <w:divBdr>
                    <w:top w:val="none" w:sz="0" w:space="0" w:color="auto"/>
                    <w:left w:val="none" w:sz="0" w:space="0" w:color="auto"/>
                    <w:bottom w:val="none" w:sz="0" w:space="0" w:color="auto"/>
                    <w:right w:val="none" w:sz="0" w:space="0" w:color="auto"/>
                  </w:divBdr>
                  <w:divsChild>
                    <w:div w:id="1518619596">
                      <w:marLeft w:val="2310"/>
                      <w:marRight w:val="3000"/>
                      <w:marTop w:val="0"/>
                      <w:marBottom w:val="0"/>
                      <w:divBdr>
                        <w:top w:val="none" w:sz="0" w:space="0" w:color="auto"/>
                        <w:left w:val="none" w:sz="0" w:space="0" w:color="auto"/>
                        <w:bottom w:val="none" w:sz="0" w:space="0" w:color="auto"/>
                        <w:right w:val="none" w:sz="0" w:space="0" w:color="auto"/>
                      </w:divBdr>
                      <w:divsChild>
                        <w:div w:id="1518619591">
                          <w:marLeft w:val="0"/>
                          <w:marRight w:val="0"/>
                          <w:marTop w:val="0"/>
                          <w:marBottom w:val="0"/>
                          <w:divBdr>
                            <w:top w:val="none" w:sz="0" w:space="0" w:color="auto"/>
                            <w:left w:val="none" w:sz="0" w:space="0" w:color="auto"/>
                            <w:bottom w:val="none" w:sz="0" w:space="0" w:color="auto"/>
                            <w:right w:val="none" w:sz="0" w:space="0" w:color="auto"/>
                          </w:divBdr>
                          <w:divsChild>
                            <w:div w:id="1518619593">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sChild>
                    </w:div>
                  </w:divsChild>
                </w:div>
              </w:divsChild>
            </w:div>
          </w:divsChild>
        </w:div>
      </w:divsChild>
    </w:div>
    <w:div w:id="1518619588">
      <w:marLeft w:val="0"/>
      <w:marRight w:val="0"/>
      <w:marTop w:val="0"/>
      <w:marBottom w:val="0"/>
      <w:divBdr>
        <w:top w:val="none" w:sz="0" w:space="0" w:color="auto"/>
        <w:left w:val="none" w:sz="0" w:space="0" w:color="auto"/>
        <w:bottom w:val="none" w:sz="0" w:space="0" w:color="auto"/>
        <w:right w:val="none" w:sz="0" w:space="0" w:color="auto"/>
      </w:divBdr>
    </w:div>
    <w:div w:id="1518619592">
      <w:marLeft w:val="0"/>
      <w:marRight w:val="0"/>
      <w:marTop w:val="0"/>
      <w:marBottom w:val="0"/>
      <w:divBdr>
        <w:top w:val="none" w:sz="0" w:space="0" w:color="auto"/>
        <w:left w:val="none" w:sz="0" w:space="0" w:color="auto"/>
        <w:bottom w:val="none" w:sz="0" w:space="0" w:color="auto"/>
        <w:right w:val="none" w:sz="0" w:space="0" w:color="auto"/>
      </w:divBdr>
      <w:divsChild>
        <w:div w:id="1518619587">
          <w:marLeft w:val="0"/>
          <w:marRight w:val="0"/>
          <w:marTop w:val="0"/>
          <w:marBottom w:val="0"/>
          <w:divBdr>
            <w:top w:val="none" w:sz="0" w:space="0" w:color="auto"/>
            <w:left w:val="none" w:sz="0" w:space="0" w:color="auto"/>
            <w:bottom w:val="none" w:sz="0" w:space="0" w:color="auto"/>
            <w:right w:val="none" w:sz="0" w:space="0" w:color="auto"/>
          </w:divBdr>
          <w:divsChild>
            <w:div w:id="1518619578">
              <w:marLeft w:val="0"/>
              <w:marRight w:val="0"/>
              <w:marTop w:val="0"/>
              <w:marBottom w:val="0"/>
              <w:divBdr>
                <w:top w:val="none" w:sz="0" w:space="0" w:color="auto"/>
                <w:left w:val="none" w:sz="0" w:space="0" w:color="auto"/>
                <w:bottom w:val="none" w:sz="0" w:space="0" w:color="auto"/>
                <w:right w:val="none" w:sz="0" w:space="0" w:color="auto"/>
              </w:divBdr>
              <w:divsChild>
                <w:div w:id="1518619584">
                  <w:marLeft w:val="0"/>
                  <w:marRight w:val="0"/>
                  <w:marTop w:val="0"/>
                  <w:marBottom w:val="0"/>
                  <w:divBdr>
                    <w:top w:val="none" w:sz="0" w:space="0" w:color="auto"/>
                    <w:left w:val="none" w:sz="0" w:space="0" w:color="auto"/>
                    <w:bottom w:val="none" w:sz="0" w:space="0" w:color="auto"/>
                    <w:right w:val="none" w:sz="0" w:space="0" w:color="auto"/>
                  </w:divBdr>
                  <w:divsChild>
                    <w:div w:id="15186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9594">
      <w:marLeft w:val="0"/>
      <w:marRight w:val="0"/>
      <w:marTop w:val="0"/>
      <w:marBottom w:val="0"/>
      <w:divBdr>
        <w:top w:val="none" w:sz="0" w:space="0" w:color="auto"/>
        <w:left w:val="none" w:sz="0" w:space="0" w:color="auto"/>
        <w:bottom w:val="none" w:sz="0" w:space="0" w:color="auto"/>
        <w:right w:val="none" w:sz="0" w:space="0" w:color="auto"/>
      </w:divBdr>
    </w:div>
    <w:div w:id="1518619601">
      <w:marLeft w:val="0"/>
      <w:marRight w:val="0"/>
      <w:marTop w:val="0"/>
      <w:marBottom w:val="0"/>
      <w:divBdr>
        <w:top w:val="none" w:sz="0" w:space="0" w:color="auto"/>
        <w:left w:val="none" w:sz="0" w:space="0" w:color="auto"/>
        <w:bottom w:val="none" w:sz="0" w:space="0" w:color="auto"/>
        <w:right w:val="none" w:sz="0" w:space="0" w:color="auto"/>
      </w:divBdr>
      <w:divsChild>
        <w:div w:id="1518619589">
          <w:marLeft w:val="0"/>
          <w:marRight w:val="0"/>
          <w:marTop w:val="0"/>
          <w:marBottom w:val="0"/>
          <w:divBdr>
            <w:top w:val="none" w:sz="0" w:space="0" w:color="auto"/>
            <w:left w:val="none" w:sz="0" w:space="0" w:color="auto"/>
            <w:bottom w:val="none" w:sz="0" w:space="0" w:color="auto"/>
            <w:right w:val="none" w:sz="0" w:space="0" w:color="auto"/>
          </w:divBdr>
          <w:divsChild>
            <w:div w:id="1518619595">
              <w:marLeft w:val="0"/>
              <w:marRight w:val="0"/>
              <w:marTop w:val="0"/>
              <w:marBottom w:val="0"/>
              <w:divBdr>
                <w:top w:val="none" w:sz="0" w:space="0" w:color="auto"/>
                <w:left w:val="none" w:sz="0" w:space="0" w:color="auto"/>
                <w:bottom w:val="none" w:sz="0" w:space="0" w:color="auto"/>
                <w:right w:val="none" w:sz="0" w:space="0" w:color="auto"/>
              </w:divBdr>
              <w:divsChild>
                <w:div w:id="1518619597">
                  <w:marLeft w:val="0"/>
                  <w:marRight w:val="0"/>
                  <w:marTop w:val="0"/>
                  <w:marBottom w:val="0"/>
                  <w:divBdr>
                    <w:top w:val="none" w:sz="0" w:space="0" w:color="auto"/>
                    <w:left w:val="none" w:sz="0" w:space="0" w:color="auto"/>
                    <w:bottom w:val="none" w:sz="0" w:space="0" w:color="auto"/>
                    <w:right w:val="none" w:sz="0" w:space="0" w:color="auto"/>
                  </w:divBdr>
                  <w:divsChild>
                    <w:div w:id="15186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9602">
      <w:marLeft w:val="0"/>
      <w:marRight w:val="0"/>
      <w:marTop w:val="0"/>
      <w:marBottom w:val="0"/>
      <w:divBdr>
        <w:top w:val="none" w:sz="0" w:space="0" w:color="auto"/>
        <w:left w:val="none" w:sz="0" w:space="0" w:color="auto"/>
        <w:bottom w:val="none" w:sz="0" w:space="0" w:color="auto"/>
        <w:right w:val="none" w:sz="0" w:space="0" w:color="auto"/>
      </w:divBdr>
      <w:divsChild>
        <w:div w:id="1518619583">
          <w:marLeft w:val="0"/>
          <w:marRight w:val="0"/>
          <w:marTop w:val="0"/>
          <w:marBottom w:val="0"/>
          <w:divBdr>
            <w:top w:val="none" w:sz="0" w:space="0" w:color="auto"/>
            <w:left w:val="none" w:sz="0" w:space="0" w:color="auto"/>
            <w:bottom w:val="none" w:sz="0" w:space="0" w:color="auto"/>
            <w:right w:val="none" w:sz="0" w:space="0" w:color="auto"/>
          </w:divBdr>
          <w:divsChild>
            <w:div w:id="1518619599">
              <w:marLeft w:val="0"/>
              <w:marRight w:val="0"/>
              <w:marTop w:val="0"/>
              <w:marBottom w:val="0"/>
              <w:divBdr>
                <w:top w:val="none" w:sz="0" w:space="0" w:color="auto"/>
                <w:left w:val="none" w:sz="0" w:space="0" w:color="auto"/>
                <w:bottom w:val="none" w:sz="0" w:space="0" w:color="auto"/>
                <w:right w:val="none" w:sz="0" w:space="0" w:color="auto"/>
              </w:divBdr>
              <w:divsChild>
                <w:div w:id="1518619598">
                  <w:marLeft w:val="0"/>
                  <w:marRight w:val="0"/>
                  <w:marTop w:val="0"/>
                  <w:marBottom w:val="0"/>
                  <w:divBdr>
                    <w:top w:val="none" w:sz="0" w:space="0" w:color="auto"/>
                    <w:left w:val="none" w:sz="0" w:space="0" w:color="auto"/>
                    <w:bottom w:val="none" w:sz="0" w:space="0" w:color="auto"/>
                    <w:right w:val="none" w:sz="0" w:space="0" w:color="auto"/>
                  </w:divBdr>
                  <w:divsChild>
                    <w:div w:id="1518619579">
                      <w:marLeft w:val="2310"/>
                      <w:marRight w:val="3000"/>
                      <w:marTop w:val="0"/>
                      <w:marBottom w:val="0"/>
                      <w:divBdr>
                        <w:top w:val="none" w:sz="0" w:space="0" w:color="auto"/>
                        <w:left w:val="none" w:sz="0" w:space="0" w:color="auto"/>
                        <w:bottom w:val="none" w:sz="0" w:space="0" w:color="auto"/>
                        <w:right w:val="none" w:sz="0" w:space="0" w:color="auto"/>
                      </w:divBdr>
                      <w:divsChild>
                        <w:div w:id="1518619604">
                          <w:marLeft w:val="0"/>
                          <w:marRight w:val="0"/>
                          <w:marTop w:val="0"/>
                          <w:marBottom w:val="0"/>
                          <w:divBdr>
                            <w:top w:val="none" w:sz="0" w:space="0" w:color="auto"/>
                            <w:left w:val="none" w:sz="0" w:space="0" w:color="auto"/>
                            <w:bottom w:val="none" w:sz="0" w:space="0" w:color="auto"/>
                            <w:right w:val="none" w:sz="0" w:space="0" w:color="auto"/>
                          </w:divBdr>
                          <w:divsChild>
                            <w:div w:id="1518619603">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sChild>
                    </w:div>
                  </w:divsChild>
                </w:div>
              </w:divsChild>
            </w:div>
          </w:divsChild>
        </w:div>
      </w:divsChild>
    </w:div>
    <w:div w:id="18781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emergencytoolkit.org/wp-content/uploads/2017/03/RAR-EXERCISE1_field-scoring-of-accountability.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reemergencytoolkit.org/wp-content/uploads/2017/03/2017_11_14_RPS-guide-template.xlsx" TargetMode="External"/><Relationship Id="rId4" Type="http://schemas.openxmlformats.org/officeDocument/2006/relationships/settings" Target="settings.xml"/><Relationship Id="rId9" Type="http://schemas.openxmlformats.org/officeDocument/2006/relationships/hyperlink" Target="https://www.careemergencytoolkit.org/wp-content/uploads/2017/03/CARE_RAR_Staff_Engagement_2017_02_2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E462-0E59-4A66-BB26-368191D9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Claro</dc:creator>
  <cp:lastModifiedBy>Korus, Uwe</cp:lastModifiedBy>
  <cp:revision>5</cp:revision>
  <dcterms:created xsi:type="dcterms:W3CDTF">2018-06-14T06:25:00Z</dcterms:created>
  <dcterms:modified xsi:type="dcterms:W3CDTF">2018-08-16T09:38:00Z</dcterms:modified>
</cp:coreProperties>
</file>