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5C92" w14:textId="66435141" w:rsidR="00B20E72" w:rsidRPr="00A7051E" w:rsidRDefault="00B20E72" w:rsidP="00777F8F">
      <w:pPr>
        <w:pStyle w:val="H1"/>
        <w:rPr>
          <w:lang w:eastAsia="ko-KR"/>
        </w:rPr>
      </w:pPr>
      <w:r w:rsidRPr="00A7051E">
        <w:rPr>
          <w:lang w:eastAsia="ko-KR"/>
        </w:rPr>
        <w:t>Roadmap for programme monitoring</w:t>
      </w:r>
    </w:p>
    <w:p w14:paraId="261CD1C7" w14:textId="4AE6A028" w:rsidR="000D28A3" w:rsidRPr="00A7051E" w:rsidRDefault="00244EF1" w:rsidP="000D28A3">
      <w:pPr>
        <w:pStyle w:val="H1"/>
        <w:ind w:left="-170"/>
        <w:rPr>
          <w:rFonts w:ascii="Arial Bold" w:hAnsi="Arial Bold"/>
          <w:sz w:val="20"/>
          <w:lang w:eastAsia="ko-KR"/>
        </w:rPr>
      </w:pPr>
      <w:r w:rsidRPr="00A64591">
        <w:rPr>
          <w:lang w:eastAsia="ko-KR"/>
        </w:rPr>
        <w:pict w14:anchorId="006B5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20pt">
            <v:imagedata r:id="rId7" o:title="05-Monitoring_Evaluation-rodmap-EN2"/>
          </v:shape>
        </w:pict>
      </w:r>
    </w:p>
    <w:p w14:paraId="26C4C563" w14:textId="77777777" w:rsidR="000A3581" w:rsidRPr="00A7051E" w:rsidRDefault="000A3581" w:rsidP="00AB121E">
      <w:pPr>
        <w:pStyle w:val="Heading2"/>
        <w:spacing w:before="480"/>
      </w:pPr>
      <w:r w:rsidRPr="00A7051E">
        <w:t>INTRODUCTION</w:t>
      </w:r>
    </w:p>
    <w:p w14:paraId="50241710" w14:textId="0B42A1FD" w:rsidR="000A3581" w:rsidRPr="00A7051E" w:rsidRDefault="000A3581" w:rsidP="005B622B">
      <w:r w:rsidRPr="00A7051E">
        <w:t xml:space="preserve">This </w:t>
      </w:r>
      <w:r w:rsidR="00096260" w:rsidRPr="00A7051E">
        <w:t>roadmap</w:t>
      </w:r>
      <w:r w:rsidRPr="00A7051E">
        <w:t xml:space="preserve"> will guide you through the different elements of programme monitoring, including baseline, encashment</w:t>
      </w:r>
      <w:r w:rsidR="00636EB7" w:rsidRPr="00A7051E">
        <w:t xml:space="preserve"> and distribution,</w:t>
      </w:r>
      <w:r w:rsidRPr="00A7051E">
        <w:t xml:space="preserve"> and post-distribution monitoring. </w:t>
      </w:r>
    </w:p>
    <w:p w14:paraId="539C6176" w14:textId="187E74AA" w:rsidR="00DA6833" w:rsidRPr="00A7051E" w:rsidRDefault="00C63FE5" w:rsidP="005B622B">
      <w:pPr>
        <w:rPr>
          <w:rFonts w:cs="O¯øœ!Ÿ"/>
        </w:rPr>
      </w:pPr>
      <w:r w:rsidRPr="00A7051E">
        <w:rPr>
          <w:rFonts w:cs="O¯øœ!Ÿ"/>
        </w:rPr>
        <w:t>Also, t</w:t>
      </w:r>
      <w:r w:rsidR="00DA6833" w:rsidRPr="00A7051E">
        <w:rPr>
          <w:rFonts w:cs="O¯øœ!Ÿ"/>
        </w:rPr>
        <w:t xml:space="preserve">he </w:t>
      </w:r>
      <w:r w:rsidR="00096260" w:rsidRPr="00A7051E">
        <w:rPr>
          <w:rFonts w:cs="O¯øœ!Ÿ"/>
        </w:rPr>
        <w:t>roadmap</w:t>
      </w:r>
      <w:r w:rsidR="00DA6833" w:rsidRPr="00A7051E">
        <w:rPr>
          <w:rFonts w:cs="O¯øœ!Ÿ"/>
        </w:rPr>
        <w:t xml:space="preserve"> provides suggestions on which CiE tools are most useful for this step and sub-steps. The tools will need to be adapted to your need and context.  </w:t>
      </w:r>
    </w:p>
    <w:p w14:paraId="3153D49E" w14:textId="3F911889" w:rsidR="00DA6833" w:rsidRPr="00A7051E" w:rsidRDefault="00DA6833" w:rsidP="005B622B">
      <w:pPr>
        <w:rPr>
          <w:rFonts w:cs="O¯øœ!Ÿ"/>
        </w:rPr>
      </w:pPr>
      <w:r w:rsidRPr="00A7051E">
        <w:rPr>
          <w:rFonts w:cs="O¯øœ!Ÿ"/>
        </w:rPr>
        <w:t xml:space="preserve">You should always aim to comply with the minimum standards listed under this step, as this will contribute to the quality of your response. </w:t>
      </w:r>
    </w:p>
    <w:p w14:paraId="781088B0" w14:textId="77777777" w:rsidR="00DA6833" w:rsidRPr="00A7051E" w:rsidRDefault="00DA6833" w:rsidP="005B622B">
      <w:pPr>
        <w:rPr>
          <w:rFonts w:cs="O¯øœ!Ÿ"/>
        </w:rPr>
      </w:pPr>
      <w:r w:rsidRPr="00A7051E">
        <w:rPr>
          <w:rFonts w:cs="O¯øœ!Ÿ"/>
        </w:rPr>
        <w:t xml:space="preserve">It is likely that you will need to move </w:t>
      </w:r>
      <w:r w:rsidRPr="00A7051E">
        <w:rPr>
          <w:rFonts w:cs="O¯øœ!Ÿ"/>
          <w:b/>
        </w:rPr>
        <w:t>back and forth</w:t>
      </w:r>
      <w:r w:rsidRPr="00A7051E">
        <w:rPr>
          <w:rFonts w:cs="O¯øœ!Ÿ"/>
        </w:rPr>
        <w:t xml:space="preserve"> between the different sub-steps to guide your decision-making as information and processes are completed and feed into each sub-step.</w:t>
      </w:r>
    </w:p>
    <w:p w14:paraId="2D58B93B" w14:textId="3C670527" w:rsidR="00DA6833" w:rsidRPr="00A7051E" w:rsidRDefault="00DA6833" w:rsidP="005B622B">
      <w:r w:rsidRPr="00A7051E">
        <w:rPr>
          <w:rFonts w:cs="O¯øœ!Ÿ"/>
        </w:rPr>
        <w:t xml:space="preserve">If you need more detailed guidance on programme monitoring, consult the </w:t>
      </w:r>
      <w:r w:rsidRPr="00A7051E">
        <w:t xml:space="preserve">reference documents suggested at the end of this </w:t>
      </w:r>
      <w:r w:rsidR="00096260" w:rsidRPr="00A7051E">
        <w:t>roadmap</w:t>
      </w:r>
      <w:r w:rsidRPr="00A7051E">
        <w:t xml:space="preserve">.  </w:t>
      </w:r>
    </w:p>
    <w:p w14:paraId="3C80C5EB" w14:textId="77777777" w:rsidR="000A3581" w:rsidRPr="00A7051E" w:rsidRDefault="000A3581" w:rsidP="0047617F">
      <w:pPr>
        <w:pStyle w:val="Heading2"/>
      </w:pPr>
      <w:r w:rsidRPr="00A7051E">
        <w:t>MINIMUM STANDARDS</w:t>
      </w:r>
    </w:p>
    <w:p w14:paraId="65B51D29" w14:textId="35E6EF52" w:rsidR="00DB624D" w:rsidRPr="00A7051E" w:rsidRDefault="00C63FE5" w:rsidP="0047617F">
      <w:pPr>
        <w:pStyle w:val="Bullet1"/>
      </w:pPr>
      <w:r w:rsidRPr="00A7051E">
        <w:t>Ideally, b</w:t>
      </w:r>
      <w:r w:rsidR="00DB624D" w:rsidRPr="00A7051E">
        <w:t xml:space="preserve">aseline data should be gathered before or at least at the time of the first round of </w:t>
      </w:r>
      <w:r w:rsidR="00636EB7" w:rsidRPr="00A7051E">
        <w:t xml:space="preserve">distribution or </w:t>
      </w:r>
      <w:r w:rsidR="00DB624D" w:rsidRPr="00A7051E">
        <w:t>encashment.</w:t>
      </w:r>
    </w:p>
    <w:p w14:paraId="702C931F" w14:textId="573D8AA6" w:rsidR="00DB624D" w:rsidRPr="00A7051E" w:rsidRDefault="00636EB7" w:rsidP="0047617F">
      <w:pPr>
        <w:pStyle w:val="Bullet1"/>
      </w:pPr>
      <w:r w:rsidRPr="00A7051E">
        <w:t xml:space="preserve">Distributions and encashment </w:t>
      </w:r>
      <w:r w:rsidR="00DB624D" w:rsidRPr="00A7051E">
        <w:t xml:space="preserve">should be directly monitored </w:t>
      </w:r>
      <w:r w:rsidR="00D77A5A" w:rsidRPr="00A7051E">
        <w:t xml:space="preserve">even </w:t>
      </w:r>
      <w:r w:rsidR="00DB624D" w:rsidRPr="00A7051E">
        <w:t xml:space="preserve">when </w:t>
      </w:r>
      <w:r w:rsidR="00C63FE5" w:rsidRPr="00A7051E">
        <w:t xml:space="preserve">carried out </w:t>
      </w:r>
      <w:r w:rsidR="00DB624D" w:rsidRPr="00A7051E">
        <w:t>through a third party.</w:t>
      </w:r>
    </w:p>
    <w:p w14:paraId="7914F54F" w14:textId="0D966445" w:rsidR="00DB624D" w:rsidRPr="00A7051E" w:rsidRDefault="00C63FE5" w:rsidP="0047617F">
      <w:pPr>
        <w:pStyle w:val="Bullet1"/>
      </w:pPr>
      <w:r w:rsidRPr="00A7051E">
        <w:t>Post-distribution monitoring (</w:t>
      </w:r>
      <w:r w:rsidR="00DB624D" w:rsidRPr="00A7051E">
        <w:t>PDM</w:t>
      </w:r>
      <w:r w:rsidR="00470DA6" w:rsidRPr="00A7051E">
        <w:t>)</w:t>
      </w:r>
      <w:r w:rsidR="00DB624D" w:rsidRPr="00A7051E">
        <w:t xml:space="preserve"> should be scheduled so as to allow beneficiaries time to use their entitlements</w:t>
      </w:r>
    </w:p>
    <w:p w14:paraId="179DEF3A" w14:textId="117340E7" w:rsidR="00470DA6" w:rsidRPr="00A7051E" w:rsidRDefault="00470DA6" w:rsidP="0047617F">
      <w:pPr>
        <w:pStyle w:val="Bullet1"/>
      </w:pPr>
      <w:r w:rsidRPr="00A7051E">
        <w:rPr>
          <w:rFonts w:cs="Arial"/>
        </w:rPr>
        <w:t>Particularly when dealing with multipurpose cash grants PDM should capture the multi-sectorial use of cash and its potential secondary impact.</w:t>
      </w:r>
    </w:p>
    <w:p w14:paraId="3413CB04" w14:textId="6EFCE834" w:rsidR="00DB624D" w:rsidRPr="00A7051E" w:rsidRDefault="00DB624D" w:rsidP="0047617F">
      <w:pPr>
        <w:pStyle w:val="Bullet1"/>
      </w:pPr>
      <w:r w:rsidRPr="00A7051E">
        <w:t>PDM should combine quantitative and qualitative data from different sources, so as to allow triangulation</w:t>
      </w:r>
    </w:p>
    <w:p w14:paraId="3002378D" w14:textId="3D101BEE" w:rsidR="00D77A5A" w:rsidRPr="00A7051E" w:rsidRDefault="00D77A5A" w:rsidP="0047617F">
      <w:pPr>
        <w:pStyle w:val="Heading2"/>
      </w:pPr>
      <w:r w:rsidRPr="00A7051E">
        <w:lastRenderedPageBreak/>
        <w:t>SUB-STEPS AND TOOLS</w:t>
      </w:r>
    </w:p>
    <w:p w14:paraId="713D7ED2" w14:textId="16BB719C" w:rsidR="00047584" w:rsidRPr="00A7051E" w:rsidRDefault="00225E6F" w:rsidP="0047617F">
      <w:pPr>
        <w:pStyle w:val="Heading3"/>
      </w:pPr>
      <w:r w:rsidRPr="00A7051E">
        <w:t>Baseline</w:t>
      </w:r>
    </w:p>
    <w:p w14:paraId="6F7AAD31" w14:textId="4CF2D3A8" w:rsidR="004E51B4" w:rsidRPr="00A7051E" w:rsidRDefault="00047584" w:rsidP="005B622B">
      <w:r w:rsidRPr="00A7051E">
        <w:t xml:space="preserve">Baseline data is crucial </w:t>
      </w:r>
      <w:r w:rsidR="00C63FE5" w:rsidRPr="00A7051E">
        <w:t xml:space="preserve">for </w:t>
      </w:r>
      <w:r w:rsidRPr="00A7051E">
        <w:t>monitor</w:t>
      </w:r>
      <w:r w:rsidR="00C63FE5" w:rsidRPr="00A7051E">
        <w:t>ing</w:t>
      </w:r>
      <w:r w:rsidRPr="00A7051E">
        <w:t xml:space="preserve"> the changes </w:t>
      </w:r>
      <w:r w:rsidR="00C63FE5" w:rsidRPr="00A7051E">
        <w:t xml:space="preserve">brought about by the </w:t>
      </w:r>
      <w:r w:rsidRPr="00A7051E">
        <w:t xml:space="preserve">programme. </w:t>
      </w:r>
      <w:r w:rsidR="00224E5D" w:rsidRPr="00A7051E">
        <w:t xml:space="preserve">Baselines </w:t>
      </w:r>
      <w:r w:rsidR="00344B00" w:rsidRPr="00A7051E">
        <w:t xml:space="preserve">showing the situation before the shock can be </w:t>
      </w:r>
      <w:r w:rsidRPr="00A7051E">
        <w:t>available from s</w:t>
      </w:r>
      <w:r w:rsidR="00C63FE5" w:rsidRPr="00A7051E">
        <w:t>econdary sources, such as early-</w:t>
      </w:r>
      <w:r w:rsidRPr="00A7051E">
        <w:t xml:space="preserve">warning and food-security monitoring systems, or from </w:t>
      </w:r>
      <w:r w:rsidR="00342368" w:rsidRPr="00A7051E">
        <w:t>preparedness</w:t>
      </w:r>
      <w:r w:rsidR="00DF5890" w:rsidRPr="00A7051E">
        <w:t xml:space="preserve">. </w:t>
      </w:r>
      <w:r w:rsidR="00FE1BDD" w:rsidRPr="00A7051E">
        <w:t>Alternatively, b</w:t>
      </w:r>
      <w:r w:rsidRPr="00A7051E">
        <w:t>aseline survey</w:t>
      </w:r>
      <w:r w:rsidR="00344B00" w:rsidRPr="00A7051E">
        <w:t>s</w:t>
      </w:r>
      <w:r w:rsidRPr="00A7051E">
        <w:t xml:space="preserve"> </w:t>
      </w:r>
      <w:r w:rsidR="004E51B4" w:rsidRPr="00A7051E">
        <w:t xml:space="preserve">can </w:t>
      </w:r>
      <w:r w:rsidRPr="00A7051E">
        <w:t xml:space="preserve">be carried out </w:t>
      </w:r>
      <w:r w:rsidR="004E51B4" w:rsidRPr="00A7051E">
        <w:t>at the time of need assessments to capture the situation right after the shock</w:t>
      </w:r>
      <w:r w:rsidR="00EC6148" w:rsidRPr="00A7051E">
        <w:t xml:space="preserve">. In the </w:t>
      </w:r>
      <w:r w:rsidR="00C63FE5" w:rsidRPr="00A7051E">
        <w:t>P</w:t>
      </w:r>
      <w:r w:rsidR="00CB0622" w:rsidRPr="00A7051E">
        <w:t>r</w:t>
      </w:r>
      <w:r w:rsidR="00C63FE5" w:rsidRPr="00A7051E">
        <w:t>eparedness and A</w:t>
      </w:r>
      <w:r w:rsidR="00CB0622" w:rsidRPr="00A7051E">
        <w:t>ssessment modules</w:t>
      </w:r>
      <w:r w:rsidR="00CB0622" w:rsidRPr="00A7051E">
        <w:rPr>
          <w:color w:val="0000FF"/>
          <w:u w:val="single"/>
        </w:rPr>
        <w:t xml:space="preserve"> </w:t>
      </w:r>
      <w:r w:rsidR="00EC6148" w:rsidRPr="00A7051E">
        <w:t xml:space="preserve">you will find </w:t>
      </w:r>
      <w:r w:rsidR="00344B00" w:rsidRPr="00A7051E">
        <w:t>example</w:t>
      </w:r>
      <w:r w:rsidR="00C63FE5" w:rsidRPr="00A7051E">
        <w:t>s</w:t>
      </w:r>
      <w:r w:rsidR="00EC6148" w:rsidRPr="00A7051E">
        <w:t xml:space="preserve"> of questionnaire</w:t>
      </w:r>
      <w:r w:rsidR="00CB0622" w:rsidRPr="00A7051E">
        <w:t>s to be used in the respective phases</w:t>
      </w:r>
      <w:r w:rsidR="003E18BA" w:rsidRPr="00A7051E">
        <w:t>.</w:t>
      </w:r>
      <w:r w:rsidR="004E51B4" w:rsidRPr="00A7051E">
        <w:t xml:space="preserve"> </w:t>
      </w:r>
    </w:p>
    <w:p w14:paraId="5F37356C" w14:textId="6729E1FE" w:rsidR="00047584" w:rsidRPr="00A7051E" w:rsidRDefault="00DB4488" w:rsidP="005B622B">
      <w:r w:rsidRPr="00A7051E">
        <w:t xml:space="preserve">In order to build a baseline on programme indicators set in the logframe and M&amp;E matrix, you should </w:t>
      </w:r>
      <w:r w:rsidR="004E51B4" w:rsidRPr="00A7051E">
        <w:t>collect</w:t>
      </w:r>
      <w:r w:rsidRPr="00A7051E">
        <w:t xml:space="preserve"> data</w:t>
      </w:r>
      <w:r w:rsidR="004E51B4" w:rsidRPr="00A7051E">
        <w:t xml:space="preserve"> </w:t>
      </w:r>
      <w:r w:rsidRPr="00A7051E">
        <w:t>from</w:t>
      </w:r>
      <w:r w:rsidR="00047584" w:rsidRPr="00A7051E">
        <w:t xml:space="preserve"> a sample of the targeted population. </w:t>
      </w:r>
      <w:r w:rsidR="004E51B4" w:rsidRPr="00A7051E">
        <w:t>This can be done</w:t>
      </w:r>
      <w:r w:rsidR="00120D3D" w:rsidRPr="00A7051E">
        <w:t xml:space="preserve"> </w:t>
      </w:r>
      <w:r w:rsidR="00047584" w:rsidRPr="00A7051E">
        <w:t xml:space="preserve">right before or at the time of the first round of </w:t>
      </w:r>
      <w:r w:rsidR="00636EB7" w:rsidRPr="00A7051E">
        <w:t xml:space="preserve">distribution or </w:t>
      </w:r>
      <w:r w:rsidR="00047584" w:rsidRPr="00A7051E">
        <w:t>encashment.</w:t>
      </w:r>
      <w:r w:rsidR="00225E6F" w:rsidRPr="00A7051E">
        <w:t xml:space="preserve"> </w:t>
      </w:r>
      <w:r w:rsidRPr="00A7051E">
        <w:t xml:space="preserve">For this purpose, you can adapt </w:t>
      </w:r>
      <w:r w:rsidR="00FE1BDD" w:rsidRPr="00A7051E">
        <w:t xml:space="preserve">and use </w:t>
      </w:r>
      <w:r w:rsidRPr="00A7051E">
        <w:t xml:space="preserve">the </w:t>
      </w:r>
      <w:r w:rsidR="00FE1BDD" w:rsidRPr="00A7051E">
        <w:t>baseline</w:t>
      </w:r>
      <w:r w:rsidRPr="00A7051E">
        <w:t xml:space="preserve"> questionnair</w:t>
      </w:r>
      <w:r w:rsidR="004C2085" w:rsidRPr="00A7051E">
        <w:t>e</w:t>
      </w:r>
      <w:r w:rsidR="00FE1BDD" w:rsidRPr="00A7051E">
        <w:t xml:space="preserve"> available in the sub-step tools</w:t>
      </w:r>
      <w:r w:rsidR="004C2085" w:rsidRPr="00A7051E">
        <w:t>.</w:t>
      </w:r>
    </w:p>
    <w:p w14:paraId="6409693E" w14:textId="7765144A" w:rsidR="00047584" w:rsidRPr="00A7051E" w:rsidRDefault="00CF5580" w:rsidP="005B622B">
      <w:pPr>
        <w:pStyle w:val="Heading3"/>
        <w:keepLines/>
      </w:pPr>
      <w:r w:rsidRPr="00A7051E">
        <w:t>Distribution and e</w:t>
      </w:r>
      <w:r w:rsidR="004C52E9" w:rsidRPr="00A7051E">
        <w:t>ncashment monitoring</w:t>
      </w:r>
    </w:p>
    <w:p w14:paraId="581756C6" w14:textId="2152DC92" w:rsidR="00047584" w:rsidRPr="00A7051E" w:rsidRDefault="00047584" w:rsidP="005B622B">
      <w:pPr>
        <w:keepNext/>
        <w:keepLines/>
      </w:pPr>
      <w:r w:rsidRPr="00A7051E">
        <w:t xml:space="preserve">You should monitor the </w:t>
      </w:r>
      <w:r w:rsidR="00CF5580" w:rsidRPr="00A7051E">
        <w:t xml:space="preserve">distribution and encashment </w:t>
      </w:r>
      <w:r w:rsidRPr="00A7051E">
        <w:t>process</w:t>
      </w:r>
      <w:r w:rsidR="00CF5580" w:rsidRPr="00A7051E">
        <w:t>es</w:t>
      </w:r>
      <w:r w:rsidRPr="00A7051E">
        <w:t xml:space="preserve"> in order to confirm that beneficiaries have received </w:t>
      </w:r>
      <w:r w:rsidR="00CF5580" w:rsidRPr="00A7051E">
        <w:t xml:space="preserve">what was planned (cash, vouchers, cards, in-kind goods, etc.) </w:t>
      </w:r>
      <w:r w:rsidR="00AC6B12" w:rsidRPr="00A7051E">
        <w:t>in a</w:t>
      </w:r>
      <w:r w:rsidRPr="00A7051E">
        <w:t xml:space="preserve"> timely </w:t>
      </w:r>
      <w:r w:rsidR="00AC6B12" w:rsidRPr="00A7051E">
        <w:t xml:space="preserve">manner </w:t>
      </w:r>
      <w:r w:rsidRPr="00A7051E">
        <w:t xml:space="preserve">and </w:t>
      </w:r>
      <w:r w:rsidR="00AC6B12" w:rsidRPr="00A7051E">
        <w:t xml:space="preserve">that </w:t>
      </w:r>
      <w:r w:rsidRPr="00A7051E">
        <w:t xml:space="preserve">the process has been conducted correctly. </w:t>
      </w:r>
      <w:r w:rsidR="00CF5580" w:rsidRPr="00A7051E">
        <w:t>Distribution and e</w:t>
      </w:r>
      <w:r w:rsidRPr="00A7051E">
        <w:t xml:space="preserve">ncashment </w:t>
      </w:r>
      <w:r w:rsidR="00CF5580" w:rsidRPr="00A7051E">
        <w:t xml:space="preserve">should be </w:t>
      </w:r>
      <w:r w:rsidRPr="00A7051E">
        <w:t>monitor</w:t>
      </w:r>
      <w:r w:rsidR="00CF5580" w:rsidRPr="00A7051E">
        <w:t>ed either</w:t>
      </w:r>
      <w:r w:rsidRPr="00A7051E">
        <w:t xml:space="preserve"> </w:t>
      </w:r>
      <w:r w:rsidR="00CF5580" w:rsidRPr="00A7051E">
        <w:t>when carried out</w:t>
      </w:r>
      <w:r w:rsidRPr="00A7051E">
        <w:t xml:space="preserve"> directly by </w:t>
      </w:r>
      <w:r w:rsidR="00AC6B12" w:rsidRPr="00A7051E">
        <w:t xml:space="preserve">the </w:t>
      </w:r>
      <w:r w:rsidRPr="00A7051E">
        <w:t>R</w:t>
      </w:r>
      <w:r w:rsidR="00AC6B12" w:rsidRPr="00A7051E">
        <w:t xml:space="preserve">ed </w:t>
      </w:r>
      <w:r w:rsidRPr="00A7051E">
        <w:t>C</w:t>
      </w:r>
      <w:r w:rsidR="00AC6B12" w:rsidRPr="00A7051E">
        <w:t xml:space="preserve">ross </w:t>
      </w:r>
      <w:r w:rsidRPr="00A7051E">
        <w:t>R</w:t>
      </w:r>
      <w:r w:rsidR="00AC6B12" w:rsidRPr="00A7051E">
        <w:t xml:space="preserve">ed </w:t>
      </w:r>
      <w:r w:rsidRPr="00A7051E">
        <w:t>C</w:t>
      </w:r>
      <w:r w:rsidR="00AC6B12" w:rsidRPr="00A7051E">
        <w:t>rescent</w:t>
      </w:r>
      <w:r w:rsidRPr="00A7051E">
        <w:t xml:space="preserve"> </w:t>
      </w:r>
      <w:r w:rsidR="00CF5580" w:rsidRPr="00A7051E">
        <w:t xml:space="preserve">or </w:t>
      </w:r>
      <w:r w:rsidRPr="00A7051E">
        <w:t xml:space="preserve">through </w:t>
      </w:r>
      <w:r w:rsidR="00CF5580" w:rsidRPr="00A7051E">
        <w:t xml:space="preserve">third parties (implementing partners, </w:t>
      </w:r>
      <w:r w:rsidRPr="00A7051E">
        <w:t>service providers</w:t>
      </w:r>
      <w:r w:rsidR="00CF5580" w:rsidRPr="00A7051E">
        <w:t>, etc.)</w:t>
      </w:r>
      <w:r w:rsidRPr="00A7051E">
        <w:t xml:space="preserve">. In </w:t>
      </w:r>
      <w:r w:rsidR="00CF5580" w:rsidRPr="00A7051E">
        <w:t>any</w:t>
      </w:r>
      <w:r w:rsidRPr="00A7051E">
        <w:t xml:space="preserve"> case, </w:t>
      </w:r>
      <w:r w:rsidR="004854C5" w:rsidRPr="00A7051E">
        <w:t xml:space="preserve">Red Cross Red Crescent </w:t>
      </w:r>
      <w:r w:rsidRPr="00A7051E">
        <w:t xml:space="preserve">staff should be at the </w:t>
      </w:r>
      <w:r w:rsidR="00CF5580" w:rsidRPr="00A7051E">
        <w:t>distribution/</w:t>
      </w:r>
      <w:r w:rsidRPr="00A7051E">
        <w:t xml:space="preserve">encashment point to make sure that the process is working smoothly. </w:t>
      </w:r>
      <w:r w:rsidR="00CF5580" w:rsidRPr="00A7051E">
        <w:t>Distribution and e</w:t>
      </w:r>
      <w:r w:rsidRPr="00A7051E">
        <w:t xml:space="preserve">ncashment monitoring should be conducted on a sample of </w:t>
      </w:r>
      <w:r w:rsidR="00CF5580" w:rsidRPr="00A7051E">
        <w:t xml:space="preserve">distribution </w:t>
      </w:r>
      <w:r w:rsidRPr="00A7051E">
        <w:t>points, at every major distribution. This practice allows you to detect any problems</w:t>
      </w:r>
      <w:r w:rsidR="004854C5" w:rsidRPr="00A7051E">
        <w:t xml:space="preserve"> immediately</w:t>
      </w:r>
      <w:r w:rsidRPr="00A7051E">
        <w:t>, so you can correct</w:t>
      </w:r>
      <w:r w:rsidR="004854C5" w:rsidRPr="00A7051E">
        <w:t xml:space="preserve"> them</w:t>
      </w:r>
      <w:r w:rsidRPr="00A7051E">
        <w:t xml:space="preserve"> before the programme moves forward. </w:t>
      </w:r>
      <w:r w:rsidR="004854C5" w:rsidRPr="00A7051E">
        <w:t xml:space="preserve"> </w:t>
      </w:r>
    </w:p>
    <w:p w14:paraId="1268CF50" w14:textId="49464F30" w:rsidR="00047584" w:rsidRPr="00A7051E" w:rsidRDefault="00047584" w:rsidP="005B622B">
      <w:r w:rsidRPr="00A7051E">
        <w:t xml:space="preserve">The most common </w:t>
      </w:r>
      <w:r w:rsidR="00CF5580" w:rsidRPr="00A7051E">
        <w:t>distribution/</w:t>
      </w:r>
      <w:r w:rsidRPr="00A7051E">
        <w:t>encashment monitoring methods are:</w:t>
      </w:r>
    </w:p>
    <w:p w14:paraId="59E5DA52" w14:textId="41DA38B4" w:rsidR="00047584" w:rsidRPr="00A7051E" w:rsidRDefault="00CF5580" w:rsidP="00AB121E">
      <w:pPr>
        <w:pStyle w:val="Bullet2"/>
      </w:pPr>
      <w:r w:rsidRPr="00A7051E">
        <w:rPr>
          <w:i/>
        </w:rPr>
        <w:t>S</w:t>
      </w:r>
      <w:r w:rsidR="00047584" w:rsidRPr="00A7051E">
        <w:rPr>
          <w:i/>
        </w:rPr>
        <w:t>ite observation</w:t>
      </w:r>
      <w:r w:rsidRPr="00A7051E">
        <w:rPr>
          <w:i/>
        </w:rPr>
        <w:t xml:space="preserve"> </w:t>
      </w:r>
      <w:r w:rsidR="00047584" w:rsidRPr="00A7051E">
        <w:t>aimed at verifying</w:t>
      </w:r>
      <w:r w:rsidR="004854C5" w:rsidRPr="00A7051E">
        <w:t xml:space="preserve"> whether</w:t>
      </w:r>
      <w:r w:rsidR="00047584" w:rsidRPr="00A7051E">
        <w:t xml:space="preserve"> agents are adhering to proper procedures regarding crowd c</w:t>
      </w:r>
      <w:r w:rsidR="004854C5" w:rsidRPr="00A7051E">
        <w:t xml:space="preserve">ontrol and security, and whether </w:t>
      </w:r>
      <w:r w:rsidR="00047584" w:rsidRPr="00A7051E">
        <w:t xml:space="preserve">their capacity specifications are accurate and acceptable. </w:t>
      </w:r>
    </w:p>
    <w:p w14:paraId="38CC6E1C" w14:textId="74D05D83" w:rsidR="00080E80" w:rsidRPr="00A7051E" w:rsidRDefault="00047584" w:rsidP="00AB121E">
      <w:pPr>
        <w:pStyle w:val="Bullet2"/>
      </w:pPr>
      <w:r w:rsidRPr="00A7051E">
        <w:rPr>
          <w:i/>
        </w:rPr>
        <w:t>Exit questionnaire</w:t>
      </w:r>
      <w:r w:rsidRPr="00A7051E">
        <w:t xml:space="preserve"> applied to a percentage of beneficiaries exiting from the </w:t>
      </w:r>
      <w:r w:rsidR="00CF5580" w:rsidRPr="00A7051E">
        <w:t>distribution/</w:t>
      </w:r>
      <w:r w:rsidRPr="00A7051E">
        <w:t xml:space="preserve">encashment site, with the objective of </w:t>
      </w:r>
      <w:r w:rsidR="004854C5" w:rsidRPr="00A7051E">
        <w:t xml:space="preserve">gaining </w:t>
      </w:r>
      <w:r w:rsidRPr="00A7051E">
        <w:t>a general understanding of how they view the programme</w:t>
      </w:r>
      <w:r w:rsidR="007E3A2D" w:rsidRPr="00A7051E">
        <w:t>, the quantity and quality of what they have received,</w:t>
      </w:r>
      <w:r w:rsidRPr="00A7051E">
        <w:t xml:space="preserve"> and how they intend to use the</w:t>
      </w:r>
      <w:r w:rsidR="00CF5580" w:rsidRPr="00A7051E">
        <w:t>ir entitlements</w:t>
      </w:r>
      <w:r w:rsidRPr="00A7051E">
        <w:t xml:space="preserve">. </w:t>
      </w:r>
    </w:p>
    <w:p w14:paraId="2C02850F" w14:textId="78A0640C" w:rsidR="00080E80" w:rsidRPr="00A7051E" w:rsidRDefault="00080E80" w:rsidP="00A06E88">
      <w:pPr>
        <w:spacing w:after="480"/>
      </w:pPr>
      <w:r w:rsidRPr="00A7051E">
        <w:rPr>
          <w:sz w:val="22"/>
          <w:szCs w:val="22"/>
        </w:rPr>
        <w:t xml:space="preserve">In </w:t>
      </w:r>
      <w:r w:rsidRPr="00A7051E">
        <w:t xml:space="preserve">the sub-step tools you will find an encashment site observation </w:t>
      </w:r>
      <w:r w:rsidR="00A7051E">
        <w:t>template</w:t>
      </w:r>
      <w:r w:rsidRPr="00A7051E">
        <w:t xml:space="preserve">, an encashment exit survey </w:t>
      </w:r>
      <w:r w:rsidR="00A7051E">
        <w:t xml:space="preserve">template </w:t>
      </w:r>
      <w:r w:rsidRPr="00A7051E">
        <w:t xml:space="preserve">and relative database.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946"/>
      </w:tblGrid>
      <w:tr w:rsidR="00047584" w:rsidRPr="00A7051E" w14:paraId="797E380D" w14:textId="77777777" w:rsidTr="00AB121E">
        <w:trPr>
          <w:jc w:val="center"/>
        </w:trPr>
        <w:tc>
          <w:tcPr>
            <w:tcW w:w="6946" w:type="dxa"/>
            <w:shd w:val="solid" w:color="F2F2F2" w:themeColor="background1" w:themeShade="F2" w:fill="auto"/>
          </w:tcPr>
          <w:p w14:paraId="1E81F45C" w14:textId="5793353E" w:rsidR="00047584" w:rsidRPr="00A7051E" w:rsidRDefault="004854C5" w:rsidP="00AB121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051E">
              <w:rPr>
                <w:b/>
                <w:sz w:val="22"/>
                <w:szCs w:val="22"/>
              </w:rPr>
              <w:t>New technologies</w:t>
            </w:r>
          </w:p>
          <w:p w14:paraId="7A881DF9" w14:textId="32C8C1D9" w:rsidR="00047584" w:rsidRPr="00A7051E" w:rsidRDefault="00047584" w:rsidP="00AB121E">
            <w:pPr>
              <w:pStyle w:val="Bullet2"/>
              <w:ind w:left="499" w:hanging="357"/>
            </w:pPr>
            <w:r w:rsidRPr="00A7051E">
              <w:t>When cash delivery is electronic, monitoring can be</w:t>
            </w:r>
            <w:r w:rsidR="004854C5" w:rsidRPr="00A7051E">
              <w:t xml:space="preserve"> carried out through electronic reports; e</w:t>
            </w:r>
            <w:r w:rsidRPr="00A7051E">
              <w:t>.g.</w:t>
            </w:r>
            <w:r w:rsidR="004854C5" w:rsidRPr="00A7051E">
              <w:t>,</w:t>
            </w:r>
            <w:r w:rsidRPr="00A7051E">
              <w:t xml:space="preserve"> ATM technology allows for monitoring via transaction records. </w:t>
            </w:r>
          </w:p>
          <w:p w14:paraId="52F2CE45" w14:textId="77777777" w:rsidR="00047584" w:rsidRPr="00A7051E" w:rsidRDefault="00047584" w:rsidP="00AB121E">
            <w:pPr>
              <w:pStyle w:val="Bullet2"/>
              <w:ind w:left="499" w:hanging="357"/>
            </w:pPr>
            <w:r w:rsidRPr="00A7051E">
              <w:t xml:space="preserve">Electronic distribution may include manual processes and paper work that are not tracked electronically. For audit purposes, it is important that electronic and paper processes can be reconciled. </w:t>
            </w:r>
          </w:p>
          <w:p w14:paraId="47E00DCC" w14:textId="77FD8227" w:rsidR="00047584" w:rsidRPr="00A7051E" w:rsidRDefault="00047584" w:rsidP="00AB121E">
            <w:pPr>
              <w:pStyle w:val="Bullet2"/>
              <w:ind w:left="499" w:hanging="357"/>
            </w:pPr>
            <w:r w:rsidRPr="00A7051E">
              <w:t xml:space="preserve">Text message monitoring is another possibility allowed by technology. It often involves sending a simple question to verify </w:t>
            </w:r>
            <w:r w:rsidR="004854C5" w:rsidRPr="00A7051E">
              <w:t xml:space="preserve">whether or not </w:t>
            </w:r>
            <w:r w:rsidRPr="00A7051E">
              <w:t>the beneficiary has received the transfer.</w:t>
            </w:r>
          </w:p>
        </w:tc>
      </w:tr>
    </w:tbl>
    <w:p w14:paraId="273ED306" w14:textId="77777777" w:rsidR="00C152DD" w:rsidRPr="00A7051E" w:rsidRDefault="00C152DD" w:rsidP="00047584">
      <w:pPr>
        <w:rPr>
          <w:b/>
          <w:sz w:val="22"/>
          <w:szCs w:val="22"/>
        </w:rPr>
      </w:pPr>
    </w:p>
    <w:p w14:paraId="7A394EF8" w14:textId="77777777" w:rsidR="004C52E9" w:rsidRPr="00A7051E" w:rsidRDefault="004C52E9" w:rsidP="0047617F">
      <w:pPr>
        <w:pStyle w:val="Heading3"/>
      </w:pPr>
      <w:r w:rsidRPr="00A7051E">
        <w:t>Post-distribution monitoring</w:t>
      </w:r>
      <w:r w:rsidR="00047584" w:rsidRPr="00A7051E">
        <w:t xml:space="preserve"> (PDM)</w:t>
      </w:r>
    </w:p>
    <w:p w14:paraId="1E1D325C" w14:textId="39E7641E" w:rsidR="00901411" w:rsidRPr="00A7051E" w:rsidRDefault="000B7D0A" w:rsidP="00901411">
      <w:pPr>
        <w:rPr>
          <w:rFonts w:cs="Helvetica"/>
          <w:color w:val="141413"/>
          <w:szCs w:val="21"/>
        </w:rPr>
      </w:pPr>
      <w:r w:rsidRPr="00A7051E">
        <w:t xml:space="preserve">PDM </w:t>
      </w:r>
      <w:r w:rsidR="00901411" w:rsidRPr="00A7051E">
        <w:t>is generally based on focus group discussions (FGDs) with beneficiaries and household interviews, and is focused</w:t>
      </w:r>
      <w:r w:rsidRPr="00A7051E">
        <w:t xml:space="preserve"> on the quantity and quality of the assistance provided to beneficiaries. </w:t>
      </w:r>
      <w:r w:rsidR="00901411" w:rsidRPr="00A7051E">
        <w:rPr>
          <w:rFonts w:cs="Helvetica"/>
          <w:color w:val="141413"/>
          <w:szCs w:val="21"/>
        </w:rPr>
        <w:t xml:space="preserve">PDM may help also in detecting early signals of negative programme impacts, and in addressing arising complaints. </w:t>
      </w:r>
      <w:r w:rsidR="00901411" w:rsidRPr="00A7051E">
        <w:t>Beneficiaries must be given time to use their entitlements before PDM is carried out</w:t>
      </w:r>
      <w:r w:rsidR="00901411" w:rsidRPr="00A7051E">
        <w:rPr>
          <w:rFonts w:cs="Helvetica"/>
          <w:color w:val="141413"/>
          <w:szCs w:val="21"/>
        </w:rPr>
        <w:t xml:space="preserve">. Therefore, </w:t>
      </w:r>
      <w:r w:rsidR="00901411" w:rsidRPr="00A7051E">
        <w:t>if assistance is intended to cover immediate needs, PDM should be conducted two or three weeks after the distribution/encashment. If assistance is intended to assist beneficiaries in re-establishing livelihoods, PDM can be postponed.</w:t>
      </w:r>
    </w:p>
    <w:p w14:paraId="5B908A9B" w14:textId="3EBAC4D0" w:rsidR="000B7D0A" w:rsidRPr="00A7051E" w:rsidRDefault="000B7D0A" w:rsidP="005B622B"/>
    <w:p w14:paraId="5DEBC1AA" w14:textId="520ECECA" w:rsidR="00A06E88" w:rsidRPr="00A7051E" w:rsidRDefault="00047584" w:rsidP="005B622B">
      <w:pPr>
        <w:spacing w:after="240"/>
      </w:pPr>
      <w:r w:rsidRPr="00A7051E">
        <w:lastRenderedPageBreak/>
        <w:t xml:space="preserve">In the </w:t>
      </w:r>
      <w:r w:rsidR="00080E80" w:rsidRPr="00A7051E">
        <w:t>sub-step tools</w:t>
      </w:r>
      <w:r w:rsidRPr="00A7051E">
        <w:t xml:space="preserve"> you will find </w:t>
      </w:r>
      <w:r w:rsidR="00080E80" w:rsidRPr="00A7051E">
        <w:t xml:space="preserve">PDM </w:t>
      </w:r>
      <w:r w:rsidRPr="00A7051E">
        <w:t>FGD</w:t>
      </w:r>
      <w:r w:rsidR="00A7051E">
        <w:t xml:space="preserve"> </w:t>
      </w:r>
      <w:r w:rsidRPr="00A7051E">
        <w:t>question</w:t>
      </w:r>
      <w:r w:rsidR="00A7051E">
        <w:t>naire template</w:t>
      </w:r>
      <w:r w:rsidR="000A52DE" w:rsidRPr="00A7051E">
        <w:t xml:space="preserve">. </w:t>
      </w:r>
      <w:r w:rsidR="004854C5" w:rsidRPr="00A7051E">
        <w:t>Also, y</w:t>
      </w:r>
      <w:r w:rsidR="000A52DE" w:rsidRPr="00A7051E">
        <w:t>ou will find PDM</w:t>
      </w:r>
      <w:r w:rsidR="00A7051E">
        <w:t xml:space="preserve"> conditional and unconditional survey templates, and</w:t>
      </w:r>
      <w:r w:rsidR="000A52DE" w:rsidRPr="00A7051E">
        <w:t xml:space="preserve"> a PDM database </w:t>
      </w:r>
      <w:r w:rsidR="00A7051E">
        <w:t>template</w:t>
      </w:r>
      <w:bookmarkStart w:id="0" w:name="_GoBack"/>
      <w:bookmarkEnd w:id="0"/>
      <w:r w:rsidR="000A52DE" w:rsidRPr="00A7051E">
        <w:t>.</w:t>
      </w:r>
    </w:p>
    <w:tbl>
      <w:tblPr>
        <w:tblStyle w:val="TableGrid"/>
        <w:tblW w:w="0" w:type="auto"/>
        <w:jc w:val="center"/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6967"/>
      </w:tblGrid>
      <w:tr w:rsidR="00047584" w:rsidRPr="00A7051E" w14:paraId="01525CA7" w14:textId="77777777" w:rsidTr="00AB121E">
        <w:trPr>
          <w:trHeight w:val="416"/>
          <w:jc w:val="center"/>
        </w:trPr>
        <w:tc>
          <w:tcPr>
            <w:tcW w:w="6967" w:type="dxa"/>
            <w:shd w:val="solid" w:color="F2F2F2" w:themeColor="background1" w:themeShade="F2" w:fill="auto"/>
          </w:tcPr>
          <w:p w14:paraId="59DFFD34" w14:textId="62E12667" w:rsidR="00047584" w:rsidRPr="00A7051E" w:rsidRDefault="004854C5" w:rsidP="00AB121E">
            <w:pPr>
              <w:keepNext/>
              <w:keepLines/>
              <w:spacing w:before="120"/>
              <w:jc w:val="center"/>
              <w:rPr>
                <w:b/>
                <w:sz w:val="22"/>
                <w:szCs w:val="22"/>
              </w:rPr>
            </w:pPr>
            <w:r w:rsidRPr="00A7051E">
              <w:rPr>
                <w:b/>
                <w:sz w:val="22"/>
                <w:szCs w:val="22"/>
              </w:rPr>
              <w:t>Qualitative data and triangulation</w:t>
            </w:r>
          </w:p>
          <w:p w14:paraId="0101A303" w14:textId="4BDA7393" w:rsidR="00047584" w:rsidRPr="00A7051E" w:rsidRDefault="00047584" w:rsidP="00AB121E">
            <w:pPr>
              <w:keepNext/>
              <w:keepLines/>
              <w:spacing w:after="60"/>
            </w:pPr>
            <w:r w:rsidRPr="00A7051E">
              <w:t xml:space="preserve">Data collection on how cash </w:t>
            </w:r>
            <w:r w:rsidR="00342368" w:rsidRPr="00A7051E">
              <w:t xml:space="preserve">is used tends </w:t>
            </w:r>
            <w:r w:rsidRPr="00A7051E">
              <w:t>to be mostly quantitative, but should include a strong qualitative component</w:t>
            </w:r>
            <w:r w:rsidR="00231451" w:rsidRPr="00A7051E">
              <w:t xml:space="preserve">, in order to explain the </w:t>
            </w:r>
            <w:r w:rsidR="00342368" w:rsidRPr="00A7051E">
              <w:t>reasons behind household b</w:t>
            </w:r>
            <w:r w:rsidR="008E6C72" w:rsidRPr="00A7051E">
              <w:t>ehaviour.</w:t>
            </w:r>
          </w:p>
          <w:p w14:paraId="36D76BE1" w14:textId="4739DCB2" w:rsidR="00047584" w:rsidRPr="00A7051E" w:rsidRDefault="00047584" w:rsidP="00AB121E">
            <w:pPr>
              <w:keepNext/>
              <w:keepLines/>
              <w:spacing w:before="240" w:after="60"/>
            </w:pPr>
            <w:r w:rsidRPr="00A7051E">
              <w:t xml:space="preserve">Triangulating information gathered from beneficiaries with information gathered from other key informants, such as traders, can help identify inconsistencies. </w:t>
            </w:r>
            <w:r w:rsidR="008E6C72" w:rsidRPr="00A7051E">
              <w:t>T</w:t>
            </w:r>
            <w:r w:rsidRPr="00A7051E">
              <w:t>alking separately to men and women can help understand who controls expenditures and how money is spent.</w:t>
            </w:r>
          </w:p>
        </w:tc>
      </w:tr>
    </w:tbl>
    <w:p w14:paraId="4FB91D4D" w14:textId="77777777" w:rsidR="00047584" w:rsidRPr="00A7051E" w:rsidRDefault="00047584" w:rsidP="00AB121E">
      <w:pPr>
        <w:spacing w:after="360"/>
        <w:rPr>
          <w:sz w:val="22"/>
        </w:rPr>
      </w:pPr>
    </w:p>
    <w:tbl>
      <w:tblPr>
        <w:tblStyle w:val="TableGray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848"/>
      </w:tblGrid>
      <w:tr w:rsidR="0047617F" w14:paraId="0EE02A8E" w14:textId="77777777" w:rsidTr="0047617F">
        <w:tc>
          <w:tcPr>
            <w:tcW w:w="9848" w:type="dxa"/>
            <w:shd w:val="clear" w:color="auto" w:fill="D9D9D9"/>
          </w:tcPr>
          <w:p w14:paraId="2E499BA3" w14:textId="5D39686A" w:rsidR="0047617F" w:rsidRPr="00A7051E" w:rsidRDefault="0047617F" w:rsidP="0047617F">
            <w:pPr>
              <w:pStyle w:val="RefTitre"/>
            </w:pPr>
            <w:r w:rsidRPr="00A7051E">
              <w:t>REFERENCE DOCUMENTS</w:t>
            </w:r>
          </w:p>
          <w:p w14:paraId="14753A5E" w14:textId="704CF40C" w:rsidR="00940F51" w:rsidRPr="00A64591" w:rsidRDefault="0047617F" w:rsidP="0047617F">
            <w:pPr>
              <w:pStyle w:val="RefItem1"/>
              <w:rPr>
                <w:rStyle w:val="Hyperlink"/>
              </w:rPr>
            </w:pPr>
            <w:r w:rsidRPr="00A64591">
              <w:t xml:space="preserve">Food Consumption Analysis - Technical Guidance Sheet WFP. </w:t>
            </w:r>
            <w:r w:rsidRPr="00A7051E">
              <w:rPr>
                <w:rStyle w:val="Hyperlink"/>
              </w:rPr>
              <w:t>documents.wfp.org/stellent/groups/public/documents/manual_guide_proced/wfp197216.pdf</w:t>
            </w:r>
          </w:p>
          <w:p w14:paraId="3892FBF1" w14:textId="77777777" w:rsidR="0047617F" w:rsidRPr="00A7051E" w:rsidRDefault="0047617F" w:rsidP="0047617F">
            <w:pPr>
              <w:pStyle w:val="RefItem1"/>
              <w:rPr>
                <w:rStyle w:val="Hyperlink"/>
              </w:rPr>
            </w:pPr>
            <w:r w:rsidRPr="00A64591">
              <w:t xml:space="preserve">Guidelines for measuring Household and individual Dietary Diversity. FAO 2011. </w:t>
            </w:r>
            <w:hyperlink r:id="rId8" w:history="1">
              <w:r w:rsidRPr="00A7051E">
                <w:rPr>
                  <w:rStyle w:val="Hyperlink"/>
                </w:rPr>
                <w:t>http://www.fao.org/fileadmin/user_upload/wa_workshop/docs/FAO-guidelines-dietary-diversity2011.pdf</w:t>
              </w:r>
            </w:hyperlink>
          </w:p>
          <w:p w14:paraId="3C1F111C" w14:textId="79D825B6" w:rsidR="00F82E6B" w:rsidRDefault="00F82E6B" w:rsidP="0047617F">
            <w:pPr>
              <w:pStyle w:val="RefItem1"/>
              <w:rPr>
                <w:sz w:val="22"/>
              </w:rPr>
            </w:pPr>
            <w:r w:rsidRPr="00A64591">
              <w:rPr>
                <w:rFonts w:cs="Arial"/>
                <w:lang w:val="it-IT"/>
              </w:rPr>
              <w:t xml:space="preserve">IFRC (2011) </w:t>
            </w:r>
            <w:r w:rsidRPr="00A64591">
              <w:rPr>
                <w:rFonts w:eastAsia="Times New Roman" w:cs="Arial"/>
              </w:rPr>
              <w:t>Project/programme monitoring and evaluation (M&amp;E) guide.</w:t>
            </w:r>
          </w:p>
        </w:tc>
      </w:tr>
    </w:tbl>
    <w:p w14:paraId="2E0C4AFC" w14:textId="77777777" w:rsidR="00D77A5A" w:rsidRPr="00836FB2" w:rsidRDefault="00D77A5A" w:rsidP="0047617F">
      <w:pPr>
        <w:rPr>
          <w:sz w:val="22"/>
        </w:rPr>
      </w:pPr>
    </w:p>
    <w:sectPr w:rsidR="00D77A5A" w:rsidRPr="00836FB2" w:rsidSect="00777F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81B1" w14:textId="77777777" w:rsidR="00244EF1" w:rsidRDefault="00244EF1" w:rsidP="00856359">
      <w:r>
        <w:separator/>
      </w:r>
    </w:p>
  </w:endnote>
  <w:endnote w:type="continuationSeparator" w:id="0">
    <w:p w14:paraId="3A77A1F7" w14:textId="77777777" w:rsidR="00244EF1" w:rsidRDefault="00244EF1" w:rsidP="0085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0236" w14:textId="666C2DE0" w:rsidR="000B7D0A" w:rsidRPr="00B45C74" w:rsidRDefault="000B7D0A" w:rsidP="00CE561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459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BCB817F" w14:textId="3E0CD4D6" w:rsidR="000B7D0A" w:rsidRPr="00777F8F" w:rsidRDefault="000B7D0A" w:rsidP="00CE5614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Roadmap for CTP programme monitoring</w:t>
    </w:r>
    <w:r>
      <w:fldChar w:fldCharType="begin"/>
    </w:r>
    <w:r>
      <w:instrText xml:space="preserve"> STYLEREF  H1 \t  \* MERGEFORMAT </w:instrText>
    </w:r>
    <w:r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D8" w14:textId="7DEBE116" w:rsidR="000B7D0A" w:rsidRPr="00B45C74" w:rsidRDefault="000B7D0A" w:rsidP="00CE561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459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A18064D" w14:textId="3AC43580" w:rsidR="000B7D0A" w:rsidRPr="00777F8F" w:rsidRDefault="000B7D0A" w:rsidP="00CE5614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</w:t>
    </w:r>
    <w:fldSimple w:instr=" STYLEREF  H1 \t  \* MERGEFORMAT ">
      <w:r w:rsidR="00A64591" w:rsidRPr="00A64591">
        <w:rPr>
          <w:bCs/>
          <w:noProof/>
        </w:rPr>
        <w:t>Roadmap for programme monitoring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8243" w14:textId="77777777" w:rsidR="00244EF1" w:rsidRDefault="00244EF1" w:rsidP="00856359">
      <w:r>
        <w:separator/>
      </w:r>
    </w:p>
  </w:footnote>
  <w:footnote w:type="continuationSeparator" w:id="0">
    <w:p w14:paraId="49C21CE6" w14:textId="77777777" w:rsidR="00244EF1" w:rsidRDefault="00244EF1" w:rsidP="0085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438F" w14:textId="77777777" w:rsidR="000B7D0A" w:rsidRPr="00074036" w:rsidRDefault="000B7D0A" w:rsidP="00CE5614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386A" w14:textId="77777777" w:rsidR="000B7D0A" w:rsidRDefault="000B7D0A" w:rsidP="00CE5614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BF44A47" wp14:editId="25D256CB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71540" w14:textId="77777777" w:rsidR="000B7D0A" w:rsidRDefault="000B7D0A" w:rsidP="00CE5614">
    <w:pPr>
      <w:pStyle w:val="Header1"/>
    </w:pPr>
  </w:p>
  <w:p w14:paraId="5496EA73" w14:textId="77777777" w:rsidR="000B7D0A" w:rsidRDefault="000B7D0A" w:rsidP="00CE5614">
    <w:pPr>
      <w:pStyle w:val="Header"/>
      <w:rPr>
        <w:color w:val="DC281E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586AC9" wp14:editId="08056DFA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D3271" w14:textId="77777777" w:rsidR="000B7D0A" w:rsidRDefault="000B7D0A" w:rsidP="00CE5614">
    <w:pPr>
      <w:pStyle w:val="Header"/>
      <w:spacing w:line="240" w:lineRule="auto"/>
      <w:rPr>
        <w:b/>
        <w:color w:val="DC281E"/>
        <w:sz w:val="24"/>
        <w:szCs w:val="24"/>
      </w:rPr>
    </w:pPr>
  </w:p>
  <w:p w14:paraId="5B74EBC5" w14:textId="77777777" w:rsidR="000B7D0A" w:rsidRDefault="000B7D0A" w:rsidP="00CE5614">
    <w:pPr>
      <w:pStyle w:val="Header"/>
      <w:spacing w:line="240" w:lineRule="auto"/>
      <w:rPr>
        <w:b/>
        <w:color w:val="DC281E"/>
        <w:sz w:val="24"/>
        <w:szCs w:val="24"/>
      </w:rPr>
    </w:pPr>
  </w:p>
  <w:p w14:paraId="2F85D2CA" w14:textId="77777777" w:rsidR="000B7D0A" w:rsidRPr="0047617F" w:rsidRDefault="000B7D0A" w:rsidP="00CE5614">
    <w:pPr>
      <w:pStyle w:val="Header1"/>
      <w:rPr>
        <w:rFonts w:ascii="Arial Bold" w:hAnsi="Arial Bold"/>
        <w:color w:val="DC281E"/>
      </w:rPr>
    </w:pPr>
    <w:r w:rsidRPr="0047617F">
      <w:rPr>
        <w:rFonts w:ascii="Arial Bold" w:hAnsi="Arial Bold"/>
        <w:color w:val="DC281E"/>
      </w:rPr>
      <w:t>Cash in Emergencies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3F96"/>
    <w:multiLevelType w:val="hybridMultilevel"/>
    <w:tmpl w:val="6342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778"/>
    <w:multiLevelType w:val="hybridMultilevel"/>
    <w:tmpl w:val="E3885B7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49F"/>
    <w:multiLevelType w:val="hybridMultilevel"/>
    <w:tmpl w:val="86D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1B0B"/>
    <w:multiLevelType w:val="hybridMultilevel"/>
    <w:tmpl w:val="6BDAFA3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E34A0"/>
    <w:multiLevelType w:val="hybridMultilevel"/>
    <w:tmpl w:val="36BE8BD8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2C1B"/>
    <w:multiLevelType w:val="hybridMultilevel"/>
    <w:tmpl w:val="739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F60DA"/>
    <w:multiLevelType w:val="hybridMultilevel"/>
    <w:tmpl w:val="B342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E4C26"/>
    <w:multiLevelType w:val="hybridMultilevel"/>
    <w:tmpl w:val="2DD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9"/>
    <w:rsid w:val="00047584"/>
    <w:rsid w:val="00080E80"/>
    <w:rsid w:val="00096260"/>
    <w:rsid w:val="000A3581"/>
    <w:rsid w:val="000A52DE"/>
    <w:rsid w:val="000B7D0A"/>
    <w:rsid w:val="000C4838"/>
    <w:rsid w:val="000D28A3"/>
    <w:rsid w:val="00120D3D"/>
    <w:rsid w:val="001528FF"/>
    <w:rsid w:val="00163084"/>
    <w:rsid w:val="001D47AC"/>
    <w:rsid w:val="00224E5D"/>
    <w:rsid w:val="00225E6F"/>
    <w:rsid w:val="00231451"/>
    <w:rsid w:val="00240388"/>
    <w:rsid w:val="00244EF1"/>
    <w:rsid w:val="00302997"/>
    <w:rsid w:val="00337FD9"/>
    <w:rsid w:val="00342368"/>
    <w:rsid w:val="00344B00"/>
    <w:rsid w:val="00380258"/>
    <w:rsid w:val="00396E85"/>
    <w:rsid w:val="003E18BA"/>
    <w:rsid w:val="004365D4"/>
    <w:rsid w:val="00450B02"/>
    <w:rsid w:val="00470DA6"/>
    <w:rsid w:val="0047617F"/>
    <w:rsid w:val="004854C5"/>
    <w:rsid w:val="004C2085"/>
    <w:rsid w:val="004C52E9"/>
    <w:rsid w:val="004E32BA"/>
    <w:rsid w:val="004E51B4"/>
    <w:rsid w:val="005022E2"/>
    <w:rsid w:val="0050497D"/>
    <w:rsid w:val="00516128"/>
    <w:rsid w:val="005556BC"/>
    <w:rsid w:val="005B622B"/>
    <w:rsid w:val="00636EB7"/>
    <w:rsid w:val="006A4BE4"/>
    <w:rsid w:val="007252A3"/>
    <w:rsid w:val="00777F8F"/>
    <w:rsid w:val="007E3A2D"/>
    <w:rsid w:val="00817D9D"/>
    <w:rsid w:val="00821DEB"/>
    <w:rsid w:val="00852B7E"/>
    <w:rsid w:val="00856359"/>
    <w:rsid w:val="00875277"/>
    <w:rsid w:val="00877580"/>
    <w:rsid w:val="008C25AC"/>
    <w:rsid w:val="008E6C72"/>
    <w:rsid w:val="00901411"/>
    <w:rsid w:val="00905303"/>
    <w:rsid w:val="00911F5B"/>
    <w:rsid w:val="00940F51"/>
    <w:rsid w:val="00981F30"/>
    <w:rsid w:val="0099744D"/>
    <w:rsid w:val="009A30DE"/>
    <w:rsid w:val="009F0D7B"/>
    <w:rsid w:val="00A06E88"/>
    <w:rsid w:val="00A64591"/>
    <w:rsid w:val="00A7051E"/>
    <w:rsid w:val="00A81216"/>
    <w:rsid w:val="00A90EFE"/>
    <w:rsid w:val="00AB121E"/>
    <w:rsid w:val="00AC6B12"/>
    <w:rsid w:val="00AF6C8D"/>
    <w:rsid w:val="00B20E72"/>
    <w:rsid w:val="00B25C68"/>
    <w:rsid w:val="00B5241C"/>
    <w:rsid w:val="00B52CEB"/>
    <w:rsid w:val="00C152DD"/>
    <w:rsid w:val="00C63FE5"/>
    <w:rsid w:val="00C9482C"/>
    <w:rsid w:val="00CB0622"/>
    <w:rsid w:val="00CB359C"/>
    <w:rsid w:val="00CE5614"/>
    <w:rsid w:val="00CF5580"/>
    <w:rsid w:val="00D20B0F"/>
    <w:rsid w:val="00D350EB"/>
    <w:rsid w:val="00D52366"/>
    <w:rsid w:val="00D77A5A"/>
    <w:rsid w:val="00DA6833"/>
    <w:rsid w:val="00DB443D"/>
    <w:rsid w:val="00DB4488"/>
    <w:rsid w:val="00DB624D"/>
    <w:rsid w:val="00DE614B"/>
    <w:rsid w:val="00DE62EA"/>
    <w:rsid w:val="00DF5890"/>
    <w:rsid w:val="00E03537"/>
    <w:rsid w:val="00E0766A"/>
    <w:rsid w:val="00E96EDD"/>
    <w:rsid w:val="00EB3851"/>
    <w:rsid w:val="00EC4890"/>
    <w:rsid w:val="00EC6148"/>
    <w:rsid w:val="00EE1DEE"/>
    <w:rsid w:val="00F82E6B"/>
    <w:rsid w:val="00FA289C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0D4A"/>
  <w15:docId w15:val="{D370F7A7-B651-4735-801E-1BCB414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26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962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260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9626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2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2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16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9626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96260"/>
    <w:rPr>
      <w:rFonts w:ascii="Arial" w:hAnsi="Arial" w:cs="Times New Roman"/>
      <w:b/>
      <w:bCs/>
    </w:rPr>
  </w:style>
  <w:style w:type="paragraph" w:customStyle="1" w:styleId="Default">
    <w:name w:val="Default"/>
    <w:rsid w:val="000962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9626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26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9626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260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26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9626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626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26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26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626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60"/>
    <w:rPr>
      <w:rFonts w:ascii="Arial" w:hAnsi="Arial" w:cs="Times New Roman"/>
      <w:b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096260"/>
    <w:rPr>
      <w:b/>
    </w:rPr>
  </w:style>
  <w:style w:type="character" w:styleId="Hyperlink">
    <w:name w:val="Hyperlink"/>
    <w:basedOn w:val="DefaultParagraphFont"/>
    <w:uiPriority w:val="99"/>
    <w:unhideWhenUsed/>
    <w:rsid w:val="00096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2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626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962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9626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96260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962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9626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9626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9626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9626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9626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96260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9626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9626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96260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9626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962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96260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ileadmin/user_upload/wa_workshop/docs/FAO-guidelines-dietary-diversity20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Claire HOLMAN</cp:lastModifiedBy>
  <cp:revision>5</cp:revision>
  <cp:lastPrinted>2015-10-13T16:04:00Z</cp:lastPrinted>
  <dcterms:created xsi:type="dcterms:W3CDTF">2016-08-03T13:49:00Z</dcterms:created>
  <dcterms:modified xsi:type="dcterms:W3CDTF">2017-02-23T14:43:00Z</dcterms:modified>
</cp:coreProperties>
</file>