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17B2F" w14:textId="1BB80134" w:rsidR="002D16DB" w:rsidRPr="0092673A" w:rsidRDefault="002D16DB">
      <w:pPr>
        <w:rPr>
          <w:rFonts w:ascii="Arial" w:hAnsi="Arial" w:cs="Arial"/>
          <w:u w:val="single"/>
        </w:rPr>
      </w:pPr>
      <w:bookmarkStart w:id="0" w:name="_GoBack"/>
      <w:bookmarkEnd w:id="0"/>
    </w:p>
    <w:p w14:paraId="5A5095F8" w14:textId="13022A7B" w:rsidR="002D16DB" w:rsidRPr="0092673A" w:rsidRDefault="002D16DB" w:rsidP="002D16DB">
      <w:pPr>
        <w:spacing w:line="800" w:lineRule="exact"/>
        <w:rPr>
          <w:rFonts w:ascii="Arial" w:eastAsia="Trebuchet MS" w:hAnsi="Arial" w:cs="Arial"/>
          <w:sz w:val="56"/>
          <w:szCs w:val="72"/>
        </w:rPr>
      </w:pPr>
      <w:r w:rsidRPr="0092673A">
        <w:rPr>
          <w:rFonts w:ascii="Arial" w:eastAsia="Trebuchet MS" w:hAnsi="Arial" w:cs="Arial"/>
          <w:color w:val="FF6600"/>
          <w:sz w:val="56"/>
          <w:szCs w:val="72"/>
        </w:rPr>
        <w:t>SRHR After Action Review Report</w:t>
      </w:r>
    </w:p>
    <w:p w14:paraId="60963FE8" w14:textId="77777777" w:rsidR="002D16DB" w:rsidRPr="0092673A" w:rsidRDefault="002D16DB" w:rsidP="002D16DB">
      <w:pPr>
        <w:spacing w:line="520" w:lineRule="exact"/>
        <w:rPr>
          <w:rFonts w:ascii="Arial" w:eastAsia="Trebuchet MS" w:hAnsi="Arial" w:cs="Arial"/>
          <w:sz w:val="48"/>
          <w:szCs w:val="48"/>
        </w:rPr>
      </w:pPr>
      <w:r w:rsidRPr="0092673A">
        <w:rPr>
          <w:rFonts w:ascii="Arial" w:eastAsia="Trebuchet MS" w:hAnsi="Arial" w:cs="Arial"/>
          <w:color w:val="0F6CB5"/>
          <w:sz w:val="48"/>
          <w:szCs w:val="48"/>
        </w:rPr>
        <w:t>Name of Project and Country, Dates of Operation</w:t>
      </w:r>
    </w:p>
    <w:p w14:paraId="7F1E87EF" w14:textId="77777777" w:rsidR="002D16DB" w:rsidRPr="0092673A" w:rsidRDefault="002D16DB" w:rsidP="002D16DB">
      <w:pPr>
        <w:spacing w:line="200" w:lineRule="exact"/>
        <w:rPr>
          <w:rFonts w:ascii="Arial" w:hAnsi="Arial" w:cs="Arial"/>
        </w:rPr>
      </w:pPr>
    </w:p>
    <w:p w14:paraId="5151E82A" w14:textId="77777777" w:rsidR="002D16DB" w:rsidRPr="0092673A" w:rsidRDefault="002D16DB" w:rsidP="002D16DB">
      <w:pPr>
        <w:spacing w:line="260" w:lineRule="exact"/>
        <w:rPr>
          <w:rFonts w:ascii="Arial" w:hAnsi="Arial" w:cs="Arial"/>
          <w:sz w:val="26"/>
          <w:szCs w:val="26"/>
        </w:rPr>
      </w:pPr>
    </w:p>
    <w:p w14:paraId="4E447557" w14:textId="77777777" w:rsidR="002D16DB" w:rsidRPr="0092673A" w:rsidRDefault="002D16DB" w:rsidP="002D16DB">
      <w:pPr>
        <w:rPr>
          <w:rFonts w:ascii="Arial" w:eastAsia="Trebuchet MS" w:hAnsi="Arial" w:cs="Arial"/>
          <w:color w:val="87A0D3"/>
          <w:sz w:val="48"/>
          <w:szCs w:val="48"/>
        </w:rPr>
      </w:pPr>
      <w:r w:rsidRPr="0092673A">
        <w:rPr>
          <w:rFonts w:ascii="Arial" w:eastAsia="Trebuchet MS" w:hAnsi="Arial" w:cs="Arial"/>
          <w:color w:val="87A0D3"/>
          <w:sz w:val="48"/>
          <w:szCs w:val="48"/>
        </w:rPr>
        <w:t>Dates of Review</w:t>
      </w:r>
    </w:p>
    <w:p w14:paraId="33565B87" w14:textId="77777777" w:rsidR="002D16DB" w:rsidRPr="0092673A" w:rsidRDefault="002D16DB" w:rsidP="002D16DB">
      <w:pPr>
        <w:rPr>
          <w:rFonts w:ascii="Arial" w:eastAsia="Trebuchet MS" w:hAnsi="Arial" w:cs="Arial"/>
          <w:sz w:val="48"/>
          <w:szCs w:val="48"/>
        </w:rPr>
      </w:pPr>
      <w:r w:rsidRPr="0092673A">
        <w:rPr>
          <w:rFonts w:ascii="Arial" w:eastAsia="Trebuchet MS" w:hAnsi="Arial" w:cs="Arial"/>
          <w:color w:val="87A0D3"/>
          <w:sz w:val="48"/>
          <w:szCs w:val="48"/>
        </w:rPr>
        <w:t>Name and contact of those reviewing</w:t>
      </w:r>
    </w:p>
    <w:p w14:paraId="7D12EE65" w14:textId="77777777" w:rsidR="002D16DB" w:rsidRPr="0092673A" w:rsidRDefault="002D16DB">
      <w:pPr>
        <w:rPr>
          <w:rFonts w:ascii="Arial" w:hAnsi="Arial" w:cs="Arial"/>
          <w:u w:val="single"/>
        </w:rPr>
      </w:pPr>
    </w:p>
    <w:p w14:paraId="2D1BB9EA" w14:textId="77777777" w:rsidR="002D16DB" w:rsidRPr="0092673A" w:rsidRDefault="002D16DB">
      <w:pPr>
        <w:rPr>
          <w:rFonts w:ascii="Arial" w:hAnsi="Arial" w:cs="Arial"/>
          <w:u w:val="single"/>
        </w:rPr>
      </w:pPr>
    </w:p>
    <w:p w14:paraId="4814E71C" w14:textId="77777777" w:rsidR="002D16DB" w:rsidRPr="0092673A" w:rsidRDefault="002D16DB">
      <w:pPr>
        <w:rPr>
          <w:rFonts w:ascii="Arial" w:hAnsi="Arial" w:cs="Arial"/>
          <w:u w:val="single"/>
        </w:rPr>
      </w:pPr>
    </w:p>
    <w:p w14:paraId="580F1EDB" w14:textId="77777777" w:rsidR="002D16DB" w:rsidRPr="0092673A" w:rsidRDefault="002D16DB">
      <w:pPr>
        <w:rPr>
          <w:rFonts w:ascii="Arial" w:hAnsi="Arial" w:cs="Arial"/>
          <w:u w:val="single"/>
        </w:rPr>
      </w:pPr>
    </w:p>
    <w:p w14:paraId="72759813" w14:textId="55245B64" w:rsidR="002D16DB" w:rsidRPr="0092673A" w:rsidRDefault="002D16DB">
      <w:pPr>
        <w:rPr>
          <w:rFonts w:ascii="Arial" w:hAnsi="Arial" w:cs="Arial"/>
          <w:u w:val="single"/>
        </w:rPr>
      </w:pPr>
    </w:p>
    <w:p w14:paraId="6ED2F9B2" w14:textId="2EC210DC" w:rsidR="002D16DB" w:rsidRPr="0092673A" w:rsidRDefault="002D16DB">
      <w:pPr>
        <w:rPr>
          <w:rFonts w:ascii="Arial" w:hAnsi="Arial" w:cs="Arial"/>
          <w:u w:val="single"/>
        </w:rPr>
      </w:pPr>
    </w:p>
    <w:p w14:paraId="660D90AD" w14:textId="31742500" w:rsidR="002D16DB" w:rsidRPr="0092673A" w:rsidRDefault="002D16DB">
      <w:pPr>
        <w:rPr>
          <w:rFonts w:ascii="Arial" w:hAnsi="Arial" w:cs="Arial"/>
          <w:u w:val="single"/>
        </w:rPr>
      </w:pPr>
    </w:p>
    <w:p w14:paraId="4FBC36E8" w14:textId="02934E2F" w:rsidR="002D16DB" w:rsidRPr="0092673A" w:rsidRDefault="002D16DB">
      <w:pPr>
        <w:rPr>
          <w:rFonts w:ascii="Arial" w:hAnsi="Arial" w:cs="Arial"/>
          <w:u w:val="single"/>
        </w:rPr>
      </w:pPr>
    </w:p>
    <w:p w14:paraId="682B03C4" w14:textId="553C53DD" w:rsidR="002D16DB" w:rsidRPr="0092673A" w:rsidRDefault="002D16DB">
      <w:pPr>
        <w:rPr>
          <w:rFonts w:ascii="Arial" w:hAnsi="Arial" w:cs="Arial"/>
          <w:u w:val="single"/>
        </w:rPr>
      </w:pPr>
    </w:p>
    <w:p w14:paraId="066A3814" w14:textId="33F6153B" w:rsidR="002D16DB" w:rsidRPr="0092673A" w:rsidRDefault="002D16DB">
      <w:pPr>
        <w:rPr>
          <w:rFonts w:ascii="Arial" w:hAnsi="Arial" w:cs="Arial"/>
          <w:u w:val="single"/>
        </w:rPr>
      </w:pPr>
    </w:p>
    <w:p w14:paraId="02995A98" w14:textId="50352ABF" w:rsidR="002D16DB" w:rsidRPr="0092673A" w:rsidRDefault="002D16DB">
      <w:pPr>
        <w:rPr>
          <w:rFonts w:ascii="Arial" w:hAnsi="Arial" w:cs="Arial"/>
          <w:u w:val="single"/>
        </w:rPr>
      </w:pPr>
    </w:p>
    <w:p w14:paraId="22B5BDB4" w14:textId="313B647B" w:rsidR="002D16DB" w:rsidRPr="0092673A" w:rsidRDefault="002D16DB">
      <w:pPr>
        <w:rPr>
          <w:rFonts w:ascii="Arial" w:hAnsi="Arial" w:cs="Arial"/>
          <w:u w:val="single"/>
        </w:rPr>
      </w:pPr>
    </w:p>
    <w:p w14:paraId="4E8A7E1A" w14:textId="321486DC" w:rsidR="002D16DB" w:rsidRPr="0092673A" w:rsidRDefault="002D16DB">
      <w:pPr>
        <w:rPr>
          <w:rFonts w:ascii="Arial" w:hAnsi="Arial" w:cs="Arial"/>
          <w:u w:val="single"/>
        </w:rPr>
      </w:pPr>
    </w:p>
    <w:p w14:paraId="58867079" w14:textId="3895C7E5" w:rsidR="002D16DB" w:rsidRPr="0092673A" w:rsidRDefault="002D16DB">
      <w:pPr>
        <w:rPr>
          <w:rFonts w:ascii="Arial" w:hAnsi="Arial" w:cs="Arial"/>
          <w:u w:val="single"/>
        </w:rPr>
      </w:pPr>
    </w:p>
    <w:p w14:paraId="65227248" w14:textId="7587290B" w:rsidR="002D16DB" w:rsidRPr="0092673A" w:rsidRDefault="002D16DB">
      <w:pPr>
        <w:rPr>
          <w:rFonts w:ascii="Arial" w:hAnsi="Arial" w:cs="Arial"/>
          <w:u w:val="single"/>
        </w:rPr>
      </w:pPr>
    </w:p>
    <w:p w14:paraId="5D3E729F" w14:textId="3FC01FB1" w:rsidR="002D16DB" w:rsidRPr="0092673A" w:rsidRDefault="002D16DB">
      <w:pPr>
        <w:rPr>
          <w:rFonts w:ascii="Arial" w:hAnsi="Arial" w:cs="Arial"/>
          <w:u w:val="single"/>
        </w:rPr>
      </w:pPr>
    </w:p>
    <w:p w14:paraId="488CB2A6" w14:textId="58AE72FA" w:rsidR="002D16DB" w:rsidRPr="0092673A" w:rsidRDefault="002D16DB">
      <w:pPr>
        <w:rPr>
          <w:rFonts w:ascii="Arial" w:hAnsi="Arial" w:cs="Arial"/>
          <w:u w:val="single"/>
        </w:rPr>
      </w:pPr>
    </w:p>
    <w:p w14:paraId="6190A457" w14:textId="13A9D57B" w:rsidR="00F11B43" w:rsidRDefault="00F11B43" w:rsidP="00F11B43">
      <w:pPr>
        <w:pStyle w:val="NoSpacing"/>
        <w:rPr>
          <w:rFonts w:ascii="Arial" w:hAnsi="Arial" w:cs="Arial"/>
          <w:color w:val="767171" w:themeColor="background2" w:themeShade="80"/>
          <w:sz w:val="24"/>
          <w:szCs w:val="24"/>
        </w:rPr>
      </w:pPr>
    </w:p>
    <w:p w14:paraId="756F7B70" w14:textId="43744E47" w:rsidR="00F11B43" w:rsidRDefault="00F11B43" w:rsidP="00F11B43">
      <w:pPr>
        <w:pStyle w:val="NoSpacing"/>
        <w:rPr>
          <w:rFonts w:ascii="Arial" w:hAnsi="Arial" w:cs="Arial"/>
          <w:color w:val="767171" w:themeColor="background2" w:themeShade="80"/>
          <w:sz w:val="24"/>
          <w:szCs w:val="24"/>
        </w:rPr>
      </w:pPr>
    </w:p>
    <w:p w14:paraId="5FEBCB03" w14:textId="750E57C0" w:rsidR="00F11B43" w:rsidRDefault="00F11B43" w:rsidP="00F11B43">
      <w:pPr>
        <w:pStyle w:val="NoSpacing"/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</w:pPr>
      <w:r w:rsidRPr="00F11B43"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  <w:lastRenderedPageBreak/>
        <w:t>Outline</w:t>
      </w:r>
    </w:p>
    <w:p w14:paraId="424966A6" w14:textId="460DCB7E" w:rsidR="00F11B43" w:rsidRPr="00F11B43" w:rsidRDefault="00F11B43" w:rsidP="009D556B">
      <w:pPr>
        <w:pStyle w:val="NoSpacing"/>
        <w:ind w:left="36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F11B43">
        <w:rPr>
          <w:rFonts w:ascii="Arial" w:hAnsi="Arial" w:cs="Arial"/>
          <w:color w:val="767171" w:themeColor="background2" w:themeShade="80"/>
          <w:sz w:val="24"/>
          <w:szCs w:val="24"/>
        </w:rPr>
        <w:t>Executive Summary</w:t>
      </w:r>
    </w:p>
    <w:p w14:paraId="715E54C2" w14:textId="7053FFFE" w:rsidR="00F11B43" w:rsidRPr="00A04B24" w:rsidRDefault="00F11B43" w:rsidP="009D556B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color w:val="767171" w:themeColor="background2" w:themeShade="80"/>
          <w:sz w:val="24"/>
          <w:szCs w:val="24"/>
        </w:rPr>
      </w:pPr>
      <w:r>
        <w:rPr>
          <w:rFonts w:ascii="Arial" w:hAnsi="Arial" w:cs="Arial"/>
          <w:color w:val="767171" w:themeColor="background2" w:themeShade="80"/>
          <w:sz w:val="24"/>
          <w:szCs w:val="24"/>
        </w:rPr>
        <w:t xml:space="preserve">Context </w:t>
      </w:r>
    </w:p>
    <w:p w14:paraId="4AE695A1" w14:textId="10F29632" w:rsidR="00F11B43" w:rsidRPr="001026C8" w:rsidRDefault="00F11B43" w:rsidP="009D556B">
      <w:pPr>
        <w:pStyle w:val="NoSpacing"/>
        <w:ind w:left="1080"/>
        <w:rPr>
          <w:rFonts w:ascii="Arial" w:hAnsi="Arial" w:cs="Arial"/>
          <w:color w:val="767171" w:themeColor="background2" w:themeShade="80"/>
          <w:sz w:val="24"/>
          <w:szCs w:val="24"/>
        </w:rPr>
      </w:pPr>
      <w:r>
        <w:rPr>
          <w:rFonts w:ascii="Arial" w:hAnsi="Arial" w:cs="Arial"/>
          <w:color w:val="767171" w:themeColor="background2" w:themeShade="80"/>
          <w:sz w:val="24"/>
          <w:szCs w:val="24"/>
        </w:rPr>
        <w:t>1.1</w:t>
      </w:r>
      <w:r w:rsidRPr="001026C8">
        <w:rPr>
          <w:rFonts w:ascii="Arial" w:hAnsi="Arial" w:cs="Arial"/>
          <w:color w:val="767171" w:themeColor="background2" w:themeShade="80"/>
          <w:sz w:val="24"/>
          <w:szCs w:val="24"/>
        </w:rPr>
        <w:t xml:space="preserve"> – Emergency Context</w:t>
      </w:r>
    </w:p>
    <w:p w14:paraId="0B0724C6" w14:textId="003DA386" w:rsidR="00F11B43" w:rsidRPr="001026C8" w:rsidRDefault="00F11B43" w:rsidP="009D556B">
      <w:pPr>
        <w:pStyle w:val="NoSpacing"/>
        <w:ind w:left="1080"/>
        <w:rPr>
          <w:rFonts w:ascii="Arial" w:hAnsi="Arial" w:cs="Arial"/>
          <w:color w:val="767171" w:themeColor="background2" w:themeShade="80"/>
          <w:sz w:val="24"/>
          <w:szCs w:val="24"/>
        </w:rPr>
      </w:pPr>
      <w:r>
        <w:rPr>
          <w:rFonts w:ascii="Arial" w:hAnsi="Arial" w:cs="Arial"/>
          <w:color w:val="767171" w:themeColor="background2" w:themeShade="80"/>
          <w:sz w:val="24"/>
          <w:szCs w:val="24"/>
        </w:rPr>
        <w:t>1.2</w:t>
      </w:r>
      <w:r w:rsidRPr="001026C8"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  <w:r w:rsidRPr="00A04B24">
        <w:rPr>
          <w:rFonts w:ascii="Arial" w:hAnsi="Arial" w:cs="Arial"/>
          <w:color w:val="767171" w:themeColor="background2" w:themeShade="80"/>
          <w:sz w:val="24"/>
          <w:szCs w:val="24"/>
        </w:rPr>
        <w:t>– CARE’s activation of emergency</w:t>
      </w:r>
      <w:r w:rsidRPr="001026C8">
        <w:rPr>
          <w:rFonts w:ascii="Arial" w:hAnsi="Arial" w:cs="Arial"/>
          <w:color w:val="767171" w:themeColor="background2" w:themeShade="80"/>
          <w:sz w:val="24"/>
          <w:szCs w:val="24"/>
        </w:rPr>
        <w:t xml:space="preserve"> response &amp;</w:t>
      </w:r>
    </w:p>
    <w:p w14:paraId="2C1A66E5" w14:textId="77777777" w:rsidR="00F11B43" w:rsidRDefault="00F11B43" w:rsidP="009D556B">
      <w:pPr>
        <w:pStyle w:val="NoSpacing"/>
        <w:ind w:left="108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1026C8">
        <w:rPr>
          <w:rFonts w:ascii="Arial" w:hAnsi="Arial" w:cs="Arial"/>
          <w:color w:val="767171" w:themeColor="background2" w:themeShade="80"/>
          <w:sz w:val="24"/>
          <w:szCs w:val="24"/>
        </w:rPr>
        <w:t xml:space="preserve">emergency preparedness / capacity prior to response </w:t>
      </w:r>
    </w:p>
    <w:p w14:paraId="0BEA240E" w14:textId="77777777" w:rsidR="00F11B43" w:rsidRPr="001026C8" w:rsidRDefault="00F11B43" w:rsidP="00DF39A4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color w:val="767171" w:themeColor="background2" w:themeShade="80"/>
          <w:sz w:val="24"/>
          <w:szCs w:val="24"/>
        </w:rPr>
      </w:pPr>
      <w:r>
        <w:rPr>
          <w:rFonts w:ascii="Arial" w:hAnsi="Arial" w:cs="Arial"/>
          <w:color w:val="767171" w:themeColor="background2" w:themeShade="80"/>
          <w:sz w:val="24"/>
          <w:szCs w:val="24"/>
        </w:rPr>
        <w:t>CARE’s Response</w:t>
      </w:r>
    </w:p>
    <w:p w14:paraId="34CA6AC5" w14:textId="00238620" w:rsidR="00F11B43" w:rsidRPr="001026C8" w:rsidRDefault="00F11B43" w:rsidP="009D556B">
      <w:pPr>
        <w:pStyle w:val="NoSpacing"/>
        <w:ind w:left="1800"/>
        <w:rPr>
          <w:rFonts w:ascii="Arial" w:hAnsi="Arial" w:cs="Arial"/>
          <w:color w:val="767171" w:themeColor="background2" w:themeShade="80"/>
          <w:sz w:val="24"/>
          <w:szCs w:val="24"/>
        </w:rPr>
      </w:pPr>
      <w:r>
        <w:rPr>
          <w:rFonts w:ascii="Arial" w:hAnsi="Arial" w:cs="Arial"/>
          <w:color w:val="767171" w:themeColor="background2" w:themeShade="80"/>
          <w:sz w:val="24"/>
          <w:szCs w:val="24"/>
        </w:rPr>
        <w:t xml:space="preserve">2.1- </w:t>
      </w:r>
      <w:r w:rsidRPr="001026C8">
        <w:rPr>
          <w:rFonts w:ascii="Arial" w:hAnsi="Arial" w:cs="Arial"/>
          <w:color w:val="767171" w:themeColor="background2" w:themeShade="80"/>
          <w:sz w:val="24"/>
          <w:szCs w:val="24"/>
        </w:rPr>
        <w:t xml:space="preserve">MISP implementation </w:t>
      </w:r>
    </w:p>
    <w:p w14:paraId="546EDFFB" w14:textId="0CB4A615" w:rsidR="00F11B43" w:rsidRPr="001026C8" w:rsidRDefault="00F11B43" w:rsidP="009D556B">
      <w:pPr>
        <w:pStyle w:val="NoSpacing"/>
        <w:ind w:left="1800"/>
        <w:rPr>
          <w:rFonts w:ascii="Arial" w:hAnsi="Arial" w:cs="Arial"/>
          <w:color w:val="767171" w:themeColor="background2" w:themeShade="80"/>
          <w:sz w:val="24"/>
          <w:szCs w:val="24"/>
        </w:rPr>
      </w:pPr>
      <w:r>
        <w:rPr>
          <w:rFonts w:ascii="Arial" w:hAnsi="Arial" w:cs="Arial"/>
          <w:color w:val="767171" w:themeColor="background2" w:themeShade="80"/>
          <w:sz w:val="24"/>
          <w:szCs w:val="24"/>
        </w:rPr>
        <w:t xml:space="preserve">2.2 - </w:t>
      </w:r>
      <w:r w:rsidRPr="001026C8">
        <w:rPr>
          <w:rFonts w:ascii="Arial" w:hAnsi="Arial" w:cs="Arial"/>
          <w:color w:val="767171" w:themeColor="background2" w:themeShade="80"/>
          <w:sz w:val="24"/>
          <w:szCs w:val="24"/>
        </w:rPr>
        <w:t xml:space="preserve">Emergency preparedness </w:t>
      </w:r>
    </w:p>
    <w:p w14:paraId="3C9386E9" w14:textId="56450644" w:rsidR="00F11B43" w:rsidRPr="001026C8" w:rsidRDefault="00F11B43" w:rsidP="009D556B">
      <w:pPr>
        <w:pStyle w:val="NoSpacing"/>
        <w:ind w:left="1800"/>
        <w:rPr>
          <w:rFonts w:ascii="Arial" w:hAnsi="Arial" w:cs="Arial"/>
          <w:color w:val="767171" w:themeColor="background2" w:themeShade="80"/>
          <w:sz w:val="24"/>
          <w:szCs w:val="24"/>
        </w:rPr>
      </w:pPr>
      <w:r>
        <w:rPr>
          <w:rFonts w:ascii="Arial" w:hAnsi="Arial" w:cs="Arial"/>
          <w:color w:val="767171" w:themeColor="background2" w:themeShade="80"/>
          <w:sz w:val="24"/>
          <w:szCs w:val="24"/>
        </w:rPr>
        <w:t xml:space="preserve">2.3 </w:t>
      </w:r>
      <w:r w:rsidRPr="001026C8">
        <w:rPr>
          <w:rFonts w:ascii="Arial" w:hAnsi="Arial" w:cs="Arial"/>
          <w:color w:val="767171" w:themeColor="background2" w:themeShade="80"/>
          <w:sz w:val="24"/>
          <w:szCs w:val="24"/>
        </w:rPr>
        <w:t>Program quality</w:t>
      </w:r>
    </w:p>
    <w:p w14:paraId="02AB739D" w14:textId="62CEE7F8" w:rsidR="00F11B43" w:rsidRPr="001026C8" w:rsidRDefault="00F11B43" w:rsidP="009D556B">
      <w:pPr>
        <w:pStyle w:val="NoSpacing"/>
        <w:ind w:left="1800"/>
        <w:rPr>
          <w:rFonts w:ascii="Arial" w:hAnsi="Arial" w:cs="Arial"/>
          <w:color w:val="767171" w:themeColor="background2" w:themeShade="80"/>
          <w:sz w:val="24"/>
          <w:szCs w:val="24"/>
        </w:rPr>
      </w:pPr>
      <w:r>
        <w:rPr>
          <w:rFonts w:ascii="Arial" w:hAnsi="Arial" w:cs="Arial"/>
          <w:color w:val="767171" w:themeColor="background2" w:themeShade="80"/>
          <w:sz w:val="24"/>
          <w:szCs w:val="24"/>
        </w:rPr>
        <w:t>2.4</w:t>
      </w:r>
      <w:r w:rsidRPr="001026C8">
        <w:rPr>
          <w:rFonts w:ascii="Arial" w:hAnsi="Arial" w:cs="Arial"/>
          <w:color w:val="767171" w:themeColor="background2" w:themeShade="80"/>
          <w:sz w:val="24"/>
          <w:szCs w:val="24"/>
        </w:rPr>
        <w:t>Coordination and partnerships</w:t>
      </w:r>
    </w:p>
    <w:p w14:paraId="067EEEC8" w14:textId="61E61B8E" w:rsidR="00F11B43" w:rsidRPr="001026C8" w:rsidRDefault="00F11B43" w:rsidP="009D556B">
      <w:pPr>
        <w:pStyle w:val="NoSpacing"/>
        <w:ind w:left="1800"/>
        <w:rPr>
          <w:rFonts w:ascii="Arial" w:hAnsi="Arial" w:cs="Arial"/>
          <w:color w:val="767171" w:themeColor="background2" w:themeShade="80"/>
          <w:sz w:val="24"/>
          <w:szCs w:val="24"/>
        </w:rPr>
      </w:pPr>
      <w:r>
        <w:rPr>
          <w:rFonts w:ascii="Arial" w:hAnsi="Arial" w:cs="Arial"/>
          <w:color w:val="767171" w:themeColor="background2" w:themeShade="80"/>
          <w:sz w:val="24"/>
          <w:szCs w:val="24"/>
        </w:rPr>
        <w:t>2.5</w:t>
      </w:r>
      <w:r w:rsidRPr="001026C8">
        <w:rPr>
          <w:rFonts w:ascii="Arial" w:hAnsi="Arial" w:cs="Arial"/>
          <w:color w:val="767171" w:themeColor="background2" w:themeShade="80"/>
          <w:sz w:val="24"/>
          <w:szCs w:val="24"/>
        </w:rPr>
        <w:t>Logistics</w:t>
      </w:r>
    </w:p>
    <w:p w14:paraId="4E9B3098" w14:textId="7EFE79D5" w:rsidR="00F11B43" w:rsidRDefault="00F11B43" w:rsidP="009D556B">
      <w:pPr>
        <w:pStyle w:val="NoSpacing"/>
        <w:ind w:left="1800"/>
        <w:rPr>
          <w:rFonts w:ascii="Arial" w:hAnsi="Arial" w:cs="Arial"/>
          <w:color w:val="767171" w:themeColor="background2" w:themeShade="80"/>
          <w:sz w:val="24"/>
          <w:szCs w:val="24"/>
        </w:rPr>
      </w:pPr>
      <w:r>
        <w:rPr>
          <w:rFonts w:ascii="Arial" w:hAnsi="Arial" w:cs="Arial"/>
          <w:color w:val="767171" w:themeColor="background2" w:themeShade="80"/>
          <w:sz w:val="24"/>
          <w:szCs w:val="24"/>
        </w:rPr>
        <w:t>2.6</w:t>
      </w:r>
      <w:r w:rsidRPr="001026C8">
        <w:rPr>
          <w:rFonts w:ascii="Arial" w:hAnsi="Arial" w:cs="Arial"/>
          <w:color w:val="767171" w:themeColor="background2" w:themeShade="80"/>
          <w:sz w:val="24"/>
          <w:szCs w:val="24"/>
        </w:rPr>
        <w:t>Assessment &amp; M&amp;E</w:t>
      </w:r>
    </w:p>
    <w:p w14:paraId="0C5DC37E" w14:textId="04808D4F" w:rsidR="00F11B43" w:rsidRDefault="00040362" w:rsidP="009D556B">
      <w:pPr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color w:val="767171" w:themeColor="background2" w:themeShade="80"/>
          <w:sz w:val="24"/>
          <w:szCs w:val="24"/>
        </w:rPr>
        <w:t xml:space="preserve">3. </w:t>
      </w:r>
      <w:r w:rsidR="00F11B43" w:rsidRPr="00AC42DF">
        <w:rPr>
          <w:rFonts w:ascii="Arial" w:hAnsi="Arial" w:cs="Arial"/>
          <w:color w:val="767171" w:themeColor="background2" w:themeShade="80"/>
          <w:sz w:val="24"/>
          <w:szCs w:val="24"/>
        </w:rPr>
        <w:t>Recommendations &amp; Transition to Recovery</w:t>
      </w:r>
    </w:p>
    <w:p w14:paraId="4FBB9A11" w14:textId="0CBEBCCD" w:rsidR="00F11B43" w:rsidRDefault="00F11B4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222C699D" w14:textId="77777777" w:rsidR="002D16DB" w:rsidRPr="0092673A" w:rsidRDefault="002D16DB">
      <w:pPr>
        <w:rPr>
          <w:rFonts w:ascii="Arial" w:hAnsi="Arial" w:cs="Arial"/>
          <w:u w:val="single"/>
        </w:rPr>
      </w:pPr>
    </w:p>
    <w:p w14:paraId="3AD3C292" w14:textId="221DE61F" w:rsidR="0074443D" w:rsidRPr="004E51CB" w:rsidRDefault="4DA106F4" w:rsidP="4DA106F4">
      <w:pPr>
        <w:pStyle w:val="NoSpacing"/>
        <w:rPr>
          <w:rFonts w:ascii="Arial" w:hAnsi="Arial" w:cs="Arial"/>
          <w:i/>
          <w:iCs/>
          <w:color w:val="ED7D31" w:themeColor="accent2"/>
        </w:rPr>
      </w:pPr>
      <w:r w:rsidRPr="4DA106F4">
        <w:rPr>
          <w:rFonts w:ascii="Arial" w:hAnsi="Arial" w:cs="Arial"/>
          <w:i/>
          <w:iCs/>
          <w:color w:val="ED7D31" w:themeColor="accent2"/>
          <w:u w:val="single"/>
        </w:rPr>
        <w:t xml:space="preserve">Guidance: </w:t>
      </w:r>
    </w:p>
    <w:p w14:paraId="52C28DFF" w14:textId="01A919C5" w:rsidR="0074443D" w:rsidRPr="004E51CB" w:rsidRDefault="4DA106F4" w:rsidP="4DA106F4">
      <w:pPr>
        <w:pStyle w:val="NoSpacing"/>
        <w:numPr>
          <w:ilvl w:val="0"/>
          <w:numId w:val="1"/>
        </w:numPr>
        <w:rPr>
          <w:i/>
          <w:iCs/>
          <w:color w:val="ED7D31" w:themeColor="accent2"/>
        </w:rPr>
      </w:pPr>
      <w:r w:rsidRPr="4DA106F4">
        <w:rPr>
          <w:rFonts w:ascii="Arial" w:hAnsi="Arial" w:cs="Arial"/>
          <w:i/>
          <w:iCs/>
          <w:color w:val="ED7D31" w:themeColor="accent2"/>
        </w:rPr>
        <w:t xml:space="preserve">This After-Action Review template is meant to be used when there is an SRHR component to the emergency response, even when the SRHR component is limited. </w:t>
      </w:r>
    </w:p>
    <w:p w14:paraId="0553B51B" w14:textId="419F804A" w:rsidR="0074443D" w:rsidRPr="004E51CB" w:rsidRDefault="4DA106F4" w:rsidP="4DA106F4">
      <w:pPr>
        <w:pStyle w:val="NoSpacing"/>
        <w:numPr>
          <w:ilvl w:val="0"/>
          <w:numId w:val="1"/>
        </w:numPr>
        <w:rPr>
          <w:i/>
          <w:iCs/>
          <w:color w:val="ED7D31" w:themeColor="accent2"/>
        </w:rPr>
      </w:pPr>
      <w:r w:rsidRPr="4DA106F4">
        <w:rPr>
          <w:rFonts w:ascii="Arial" w:hAnsi="Arial" w:cs="Arial"/>
          <w:i/>
          <w:iCs/>
          <w:color w:val="ED7D31" w:themeColor="accent2"/>
        </w:rPr>
        <w:t>This review should be completed prior to any CARE Emergency Group (CEG) wide reports or reviews.</w:t>
      </w:r>
    </w:p>
    <w:p w14:paraId="618DC6F2" w14:textId="3F1000DD" w:rsidR="0074443D" w:rsidRPr="004E51CB" w:rsidRDefault="4DA106F4" w:rsidP="4DA106F4">
      <w:pPr>
        <w:pStyle w:val="NoSpacing"/>
        <w:numPr>
          <w:ilvl w:val="0"/>
          <w:numId w:val="1"/>
        </w:numPr>
        <w:rPr>
          <w:i/>
          <w:iCs/>
          <w:color w:val="ED7D31" w:themeColor="accent2"/>
        </w:rPr>
      </w:pPr>
      <w:r w:rsidRPr="4DA106F4">
        <w:rPr>
          <w:rFonts w:ascii="Arial" w:hAnsi="Arial" w:cs="Arial"/>
          <w:i/>
          <w:iCs/>
          <w:color w:val="ED7D31" w:themeColor="accent2"/>
        </w:rPr>
        <w:t xml:space="preserve"> If all parties agree, consider recording the After-Action Review section to capture qualitative feedback. </w:t>
      </w:r>
    </w:p>
    <w:p w14:paraId="4EF2848A" w14:textId="4F619D13" w:rsidR="0074443D" w:rsidRPr="004E51CB" w:rsidRDefault="4DA106F4" w:rsidP="4DA106F4">
      <w:pPr>
        <w:pStyle w:val="NoSpacing"/>
        <w:numPr>
          <w:ilvl w:val="0"/>
          <w:numId w:val="1"/>
        </w:numPr>
        <w:rPr>
          <w:i/>
          <w:iCs/>
          <w:color w:val="ED7D31" w:themeColor="accent2"/>
        </w:rPr>
      </w:pPr>
      <w:r w:rsidRPr="4DA106F4">
        <w:rPr>
          <w:rFonts w:ascii="Arial" w:hAnsi="Arial" w:cs="Arial"/>
          <w:i/>
          <w:iCs/>
          <w:color w:val="ED7D31" w:themeColor="accent2"/>
        </w:rPr>
        <w:t xml:space="preserve">Request that local partners join the review session, when possible. </w:t>
      </w:r>
    </w:p>
    <w:p w14:paraId="11A58FDB" w14:textId="77777777" w:rsidR="0074443D" w:rsidRDefault="0074443D" w:rsidP="002D16DB">
      <w:pPr>
        <w:pStyle w:val="NoSpacing"/>
        <w:rPr>
          <w:rFonts w:ascii="Arial" w:hAnsi="Arial" w:cs="Arial"/>
          <w:color w:val="ED7D31" w:themeColor="accent2"/>
          <w:sz w:val="28"/>
        </w:rPr>
      </w:pPr>
    </w:p>
    <w:p w14:paraId="5C6BF8D8" w14:textId="46D26CD2" w:rsidR="002D16DB" w:rsidRDefault="002D16DB" w:rsidP="002D16DB">
      <w:pPr>
        <w:pStyle w:val="NoSpacing"/>
        <w:rPr>
          <w:rFonts w:ascii="Arial" w:hAnsi="Arial" w:cs="Arial"/>
          <w:color w:val="ED7D31" w:themeColor="accent2"/>
          <w:sz w:val="28"/>
        </w:rPr>
      </w:pPr>
      <w:r w:rsidRPr="0092673A">
        <w:rPr>
          <w:rFonts w:ascii="Arial" w:hAnsi="Arial" w:cs="Arial"/>
          <w:color w:val="ED7D31" w:themeColor="accent2"/>
          <w:sz w:val="28"/>
        </w:rPr>
        <w:t>Executive Summary:</w:t>
      </w:r>
    </w:p>
    <w:p w14:paraId="3F3413D2" w14:textId="2458A35B" w:rsidR="002D16DB" w:rsidRDefault="00561025" w:rsidP="002D16DB">
      <w:pPr>
        <w:pStyle w:val="NoSpacing"/>
        <w:rPr>
          <w:rFonts w:ascii="Arial" w:hAnsi="Arial" w:cs="Arial"/>
          <w:i/>
          <w:color w:val="767171" w:themeColor="background2" w:themeShade="80"/>
          <w:szCs w:val="24"/>
        </w:rPr>
      </w:pPr>
      <w:r w:rsidRPr="00F11B43">
        <w:rPr>
          <w:rFonts w:ascii="Arial" w:hAnsi="Arial" w:cs="Arial"/>
          <w:i/>
          <w:color w:val="767171" w:themeColor="background2" w:themeShade="80"/>
          <w:szCs w:val="24"/>
        </w:rPr>
        <w:t>Please provide a</w:t>
      </w:r>
      <w:r w:rsidR="00F11B43" w:rsidRPr="00F11B43">
        <w:rPr>
          <w:rFonts w:ascii="Arial" w:hAnsi="Arial" w:cs="Arial"/>
          <w:i/>
          <w:color w:val="767171" w:themeColor="background2" w:themeShade="80"/>
          <w:szCs w:val="24"/>
        </w:rPr>
        <w:t xml:space="preserve"> brief</w:t>
      </w:r>
      <w:r w:rsidRPr="00F11B43">
        <w:rPr>
          <w:rFonts w:ascii="Arial" w:hAnsi="Arial" w:cs="Arial"/>
          <w:i/>
          <w:color w:val="767171" w:themeColor="background2" w:themeShade="80"/>
          <w:szCs w:val="24"/>
        </w:rPr>
        <w:t xml:space="preserve"> overview </w:t>
      </w:r>
      <w:r w:rsidR="00F11B43" w:rsidRPr="00F11B43">
        <w:rPr>
          <w:rFonts w:ascii="Arial" w:hAnsi="Arial" w:cs="Arial"/>
          <w:i/>
          <w:color w:val="767171" w:themeColor="background2" w:themeShade="80"/>
          <w:szCs w:val="24"/>
        </w:rPr>
        <w:t>of the emergency context (including preparedness and capacity prior to response), CARE’s response activities, and any recommendations and action steps for transition to a recovery phase</w:t>
      </w:r>
      <w:r w:rsidR="00B03BA6">
        <w:rPr>
          <w:rFonts w:ascii="Arial" w:hAnsi="Arial" w:cs="Arial"/>
          <w:i/>
          <w:color w:val="767171" w:themeColor="background2" w:themeShade="80"/>
          <w:szCs w:val="24"/>
        </w:rPr>
        <w:t xml:space="preserve"> (comprehensive SRH services)</w:t>
      </w:r>
    </w:p>
    <w:p w14:paraId="757A0FC7" w14:textId="72A697D1" w:rsidR="001026C8" w:rsidRPr="001026C8" w:rsidRDefault="001026C8" w:rsidP="004E51CB">
      <w:pPr>
        <w:pStyle w:val="NoSpacing"/>
        <w:rPr>
          <w:rFonts w:ascii="Arial" w:hAnsi="Arial" w:cs="Arial"/>
          <w:color w:val="767171" w:themeColor="background2" w:themeShade="80"/>
          <w:sz w:val="24"/>
          <w:szCs w:val="24"/>
        </w:rPr>
      </w:pPr>
    </w:p>
    <w:p w14:paraId="415C28C2" w14:textId="77777777" w:rsidR="003F6238" w:rsidRPr="0092673A" w:rsidRDefault="003F6238" w:rsidP="003F6238">
      <w:pPr>
        <w:pStyle w:val="NoSpacing"/>
        <w:ind w:left="720"/>
        <w:rPr>
          <w:rFonts w:ascii="Arial" w:hAnsi="Arial" w:cs="Arial"/>
          <w:color w:val="FFC000"/>
          <w:u w:val="single"/>
        </w:rPr>
      </w:pPr>
    </w:p>
    <w:p w14:paraId="13072DAA" w14:textId="03C86836" w:rsidR="002D16DB" w:rsidRPr="0092673A" w:rsidRDefault="001026C8" w:rsidP="001026C8">
      <w:pPr>
        <w:pStyle w:val="NoSpacing"/>
        <w:numPr>
          <w:ilvl w:val="0"/>
          <w:numId w:val="13"/>
        </w:numPr>
        <w:rPr>
          <w:rFonts w:ascii="Arial" w:hAnsi="Arial" w:cs="Arial"/>
          <w:color w:val="ED7D31" w:themeColor="accent2"/>
          <w:sz w:val="28"/>
        </w:rPr>
      </w:pPr>
      <w:r>
        <w:rPr>
          <w:rFonts w:ascii="Arial" w:hAnsi="Arial" w:cs="Arial"/>
          <w:color w:val="ED7D31" w:themeColor="accent2"/>
          <w:sz w:val="28"/>
        </w:rPr>
        <w:t xml:space="preserve">Context </w:t>
      </w:r>
    </w:p>
    <w:p w14:paraId="34E1ED06" w14:textId="26B28FBC" w:rsidR="008A419F" w:rsidRDefault="002D16DB" w:rsidP="008A419F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8A419F">
        <w:rPr>
          <w:rFonts w:ascii="Arial" w:hAnsi="Arial" w:cs="Arial"/>
        </w:rPr>
        <w:t xml:space="preserve">Overview of the emergency context </w:t>
      </w:r>
    </w:p>
    <w:p w14:paraId="2B40EDD3" w14:textId="77777777" w:rsidR="00780C01" w:rsidRDefault="00780C01" w:rsidP="00780C01">
      <w:pPr>
        <w:pStyle w:val="ListParagraph"/>
        <w:ind w:left="1080"/>
        <w:rPr>
          <w:rFonts w:ascii="Arial" w:hAnsi="Arial" w:cs="Arial"/>
        </w:rPr>
      </w:pPr>
    </w:p>
    <w:p w14:paraId="6AC04614" w14:textId="429DA579" w:rsidR="002D16DB" w:rsidRPr="008A419F" w:rsidRDefault="001823B6" w:rsidP="008A419F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8A419F">
        <w:rPr>
          <w:rFonts w:ascii="Arial" w:hAnsi="Arial" w:cs="Arial"/>
        </w:rPr>
        <w:t>CARE’s activation of emergency response &amp; emergency preparedness prior to response</w:t>
      </w:r>
    </w:p>
    <w:p w14:paraId="0AAF8CB1" w14:textId="455FA548" w:rsidR="001823B6" w:rsidRPr="0059536C" w:rsidRDefault="3D561A0D" w:rsidP="3D561A0D">
      <w:pPr>
        <w:pStyle w:val="ListParagraph"/>
        <w:numPr>
          <w:ilvl w:val="0"/>
          <w:numId w:val="18"/>
        </w:numPr>
        <w:ind w:left="1080"/>
        <w:rPr>
          <w:rFonts w:ascii="Arial" w:hAnsi="Arial" w:cs="Arial"/>
          <w:b/>
          <w:bCs/>
        </w:rPr>
      </w:pPr>
      <w:r w:rsidRPr="3D561A0D">
        <w:rPr>
          <w:rFonts w:ascii="Arial" w:hAnsi="Arial" w:cs="Arial"/>
          <w:b/>
          <w:bCs/>
        </w:rPr>
        <w:t>Activation of emergency response</w:t>
      </w:r>
    </w:p>
    <w:p w14:paraId="0BB51E66" w14:textId="77777777" w:rsidR="001823B6" w:rsidRDefault="001823B6" w:rsidP="009D556B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When was SRHR included in this response? What was the key factor(s) for this?</w:t>
      </w:r>
    </w:p>
    <w:p w14:paraId="3E5BD618" w14:textId="77777777" w:rsidR="001823B6" w:rsidRPr="003F6238" w:rsidRDefault="001823B6" w:rsidP="009D556B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3F6238">
        <w:rPr>
          <w:rFonts w:ascii="Arial" w:hAnsi="Arial" w:cs="Arial"/>
        </w:rPr>
        <w:t>Was there an ERF launched for this response? If so, was SRHR included?</w:t>
      </w:r>
    </w:p>
    <w:p w14:paraId="6431228B" w14:textId="77777777" w:rsidR="001823B6" w:rsidRPr="003F6238" w:rsidRDefault="001823B6" w:rsidP="009D556B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3F6238">
        <w:rPr>
          <w:rFonts w:ascii="Arial" w:hAnsi="Arial" w:cs="Arial"/>
        </w:rPr>
        <w:t>What other acute emergency response funding did the CO secure for this response? How much of it was for SRHR programming?</w:t>
      </w:r>
    </w:p>
    <w:p w14:paraId="4C0727CE" w14:textId="77777777" w:rsidR="001823B6" w:rsidRDefault="001823B6" w:rsidP="009D556B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3F6238">
        <w:rPr>
          <w:rFonts w:ascii="Arial" w:hAnsi="Arial" w:cs="Arial"/>
        </w:rPr>
        <w:t xml:space="preserve">Who was/were the main donors for SRHR response efforts? </w:t>
      </w:r>
    </w:p>
    <w:p w14:paraId="498EE699" w14:textId="7BC9F7E4" w:rsidR="001823B6" w:rsidRDefault="001823B6" w:rsidP="009D556B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Who supported the SRHR component of this response? (probe: consider national and global staff support in-country and remote)</w:t>
      </w:r>
    </w:p>
    <w:p w14:paraId="0E37E775" w14:textId="77777777" w:rsidR="009D556B" w:rsidRDefault="009D556B" w:rsidP="009D556B">
      <w:pPr>
        <w:pStyle w:val="ListParagraph"/>
        <w:ind w:left="1080"/>
        <w:rPr>
          <w:rFonts w:ascii="Arial" w:hAnsi="Arial" w:cs="Arial"/>
        </w:rPr>
      </w:pPr>
    </w:p>
    <w:p w14:paraId="6DD74429" w14:textId="2A348E8E" w:rsidR="0059536C" w:rsidRPr="0092673A" w:rsidRDefault="0059536C" w:rsidP="008869B0">
      <w:pPr>
        <w:pStyle w:val="ListParagraph"/>
        <w:numPr>
          <w:ilvl w:val="0"/>
          <w:numId w:val="18"/>
        </w:num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2673A">
        <w:rPr>
          <w:rFonts w:ascii="Arial" w:hAnsi="Arial" w:cs="Arial"/>
          <w:b/>
        </w:rPr>
        <w:t xml:space="preserve">Emergency Preparedness </w:t>
      </w:r>
      <w:r>
        <w:rPr>
          <w:rFonts w:ascii="Arial" w:hAnsi="Arial" w:cs="Arial"/>
          <w:b/>
        </w:rPr>
        <w:t xml:space="preserve">&amp; </w:t>
      </w:r>
      <w:r w:rsidRPr="0092673A">
        <w:rPr>
          <w:rFonts w:ascii="Arial" w:hAnsi="Arial" w:cs="Arial"/>
          <w:b/>
        </w:rPr>
        <w:t>Planning</w:t>
      </w:r>
    </w:p>
    <w:p w14:paraId="765ED37A" w14:textId="77777777" w:rsidR="0059536C" w:rsidRPr="0092673A" w:rsidRDefault="4DA106F4" w:rsidP="4DA106F4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4DA106F4">
        <w:rPr>
          <w:rFonts w:ascii="Arial" w:hAnsi="Arial" w:cs="Arial"/>
        </w:rPr>
        <w:t>Was SRHR included as part of you Emergency Preparedness Plan prior to response?</w:t>
      </w:r>
    </w:p>
    <w:p w14:paraId="50F70F1E" w14:textId="6381BF5C" w:rsidR="4DA106F4" w:rsidRDefault="4DA106F4" w:rsidP="4DA106F4">
      <w:pPr>
        <w:pStyle w:val="ListParagraph"/>
        <w:numPr>
          <w:ilvl w:val="1"/>
          <w:numId w:val="22"/>
        </w:numPr>
        <w:spacing w:after="0"/>
      </w:pPr>
      <w:r w:rsidRPr="4DA106F4">
        <w:rPr>
          <w:rFonts w:ascii="Arial" w:hAnsi="Arial" w:cs="Arial"/>
        </w:rPr>
        <w:t>Ask which SRHR minimum preparedness actions were included in your EPP prior to the response?</w:t>
      </w:r>
    </w:p>
    <w:p w14:paraId="2EE3DAFE" w14:textId="77777777" w:rsidR="0059536C" w:rsidRPr="0092673A" w:rsidRDefault="4DA106F4" w:rsidP="009D556B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4DA106F4">
        <w:rPr>
          <w:rFonts w:ascii="Arial" w:hAnsi="Arial" w:cs="Arial"/>
        </w:rPr>
        <w:t>Did you have an SRHR focal point listed in your EPP prior to the response?</w:t>
      </w:r>
    </w:p>
    <w:p w14:paraId="76551CDC" w14:textId="77777777" w:rsidR="0059536C" w:rsidRDefault="4DA106F4" w:rsidP="009D556B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4DA106F4">
        <w:rPr>
          <w:rFonts w:ascii="Arial" w:hAnsi="Arial" w:cs="Arial"/>
        </w:rPr>
        <w:t>Do you have SRH staff in the CO attended a MISP training prior to this response?</w:t>
      </w:r>
    </w:p>
    <w:p w14:paraId="3A4114EA" w14:textId="77777777" w:rsidR="0059536C" w:rsidRPr="0092673A" w:rsidRDefault="4DA106F4" w:rsidP="009D556B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4DA106F4">
        <w:rPr>
          <w:rFonts w:ascii="Arial" w:hAnsi="Arial" w:cs="Arial"/>
        </w:rPr>
        <w:t>Did your CO have experience implementing SRHR programs previously? If so, what type of programming? How was this leveraged in the emergency response?</w:t>
      </w:r>
    </w:p>
    <w:p w14:paraId="68C4C542" w14:textId="40DA89DF" w:rsidR="001026C8" w:rsidRPr="001026C8" w:rsidRDefault="001026C8" w:rsidP="001026C8">
      <w:pPr>
        <w:rPr>
          <w:rFonts w:ascii="Arial" w:hAnsi="Arial" w:cs="Arial"/>
        </w:rPr>
      </w:pPr>
    </w:p>
    <w:p w14:paraId="1DD33F69" w14:textId="6507895A" w:rsidR="0013761D" w:rsidRDefault="008A419F" w:rsidP="00567B3D">
      <w:pPr>
        <w:pStyle w:val="NoSpacing"/>
        <w:rPr>
          <w:rFonts w:ascii="Arial" w:hAnsi="Arial" w:cs="Arial"/>
          <w:color w:val="ED7D31" w:themeColor="accent2"/>
          <w:sz w:val="28"/>
        </w:rPr>
      </w:pPr>
      <w:r>
        <w:rPr>
          <w:rFonts w:ascii="Arial" w:hAnsi="Arial" w:cs="Arial"/>
          <w:color w:val="ED7D31" w:themeColor="accent2"/>
          <w:sz w:val="28"/>
        </w:rPr>
        <w:t>2</w:t>
      </w:r>
      <w:r w:rsidR="00535F54">
        <w:rPr>
          <w:rFonts w:ascii="Arial" w:hAnsi="Arial" w:cs="Arial"/>
          <w:color w:val="ED7D31" w:themeColor="accent2"/>
          <w:sz w:val="28"/>
        </w:rPr>
        <w:t>. Emergency Response</w:t>
      </w:r>
    </w:p>
    <w:p w14:paraId="76474EA9" w14:textId="1BD16C60" w:rsidR="00567B3D" w:rsidRPr="00535F54" w:rsidRDefault="008A419F" w:rsidP="00535F54">
      <w:pPr>
        <w:pStyle w:val="NoSpacing"/>
        <w:ind w:left="720"/>
        <w:rPr>
          <w:rFonts w:ascii="Arial" w:hAnsi="Arial" w:cs="Arial"/>
          <w:color w:val="ED7D31" w:themeColor="accent2"/>
          <w:sz w:val="24"/>
          <w:u w:val="single"/>
        </w:rPr>
      </w:pPr>
      <w:r>
        <w:rPr>
          <w:rFonts w:ascii="Arial" w:hAnsi="Arial" w:cs="Arial"/>
          <w:color w:val="ED7D31" w:themeColor="accent2"/>
          <w:sz w:val="24"/>
          <w:u w:val="single"/>
        </w:rPr>
        <w:t>2</w:t>
      </w:r>
      <w:r w:rsidR="00535F54" w:rsidRPr="00535F54">
        <w:rPr>
          <w:rFonts w:ascii="Arial" w:hAnsi="Arial" w:cs="Arial"/>
          <w:color w:val="ED7D31" w:themeColor="accent2"/>
          <w:sz w:val="24"/>
          <w:u w:val="single"/>
        </w:rPr>
        <w:t>.1 MISP Implementation</w:t>
      </w:r>
    </w:p>
    <w:p w14:paraId="7897B163" w14:textId="691B8DDF" w:rsidR="00567B3D" w:rsidRPr="00535F54" w:rsidRDefault="00567B3D" w:rsidP="00535F54">
      <w:pPr>
        <w:rPr>
          <w:rFonts w:ascii="Arial" w:hAnsi="Arial" w:cs="Arial"/>
          <w:color w:val="767171" w:themeColor="background2" w:themeShade="80"/>
        </w:rPr>
      </w:pPr>
    </w:p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4060"/>
      </w:tblGrid>
      <w:tr w:rsidR="00F62E50" w:rsidRPr="0092673A" w14:paraId="376B6D9C" w14:textId="77777777" w:rsidTr="4DA106F4"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2351" w14:textId="7582934A" w:rsidR="00F62E50" w:rsidRPr="0092673A" w:rsidRDefault="00F62E50" w:rsidP="009E0555">
            <w:pPr>
              <w:rPr>
                <w:rFonts w:ascii="Arial" w:hAnsi="Arial" w:cs="Arial"/>
              </w:rPr>
            </w:pPr>
            <w:r w:rsidRPr="0092673A">
              <w:rPr>
                <w:rFonts w:ascii="Arial" w:hAnsi="Arial" w:cs="Arial"/>
                <w:b/>
              </w:rPr>
              <w:lastRenderedPageBreak/>
              <w:t>Objective 1. Coordination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B3D72" w14:textId="61C894AA" w:rsidR="00F62E50" w:rsidRDefault="00F62E50" w:rsidP="009E0555">
            <w:pPr>
              <w:rPr>
                <w:rFonts w:ascii="Arial" w:hAnsi="Arial" w:cs="Arial"/>
              </w:rPr>
            </w:pPr>
          </w:p>
          <w:p w14:paraId="69B09C5C" w14:textId="75F10E36" w:rsidR="00F62E50" w:rsidRPr="001026C8" w:rsidRDefault="00F62E50" w:rsidP="009E0555">
            <w:pPr>
              <w:rPr>
                <w:rFonts w:ascii="Arial" w:hAnsi="Arial" w:cs="Arial"/>
                <w:b/>
              </w:rPr>
            </w:pPr>
            <w:r w:rsidRPr="001026C8">
              <w:rPr>
                <w:rFonts w:ascii="Arial" w:hAnsi="Arial" w:cs="Arial"/>
                <w:b/>
              </w:rPr>
              <w:t>Yes/No/Partially</w:t>
            </w:r>
          </w:p>
        </w:tc>
      </w:tr>
      <w:tr w:rsidR="00D8589A" w:rsidRPr="0092673A" w14:paraId="71260207" w14:textId="77777777" w:rsidTr="4DA106F4"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8BAA3" w14:textId="2F1E386A" w:rsidR="00D8589A" w:rsidRPr="0092673A" w:rsidRDefault="00D8589A" w:rsidP="00D8589A">
            <w:pPr>
              <w:rPr>
                <w:rFonts w:ascii="Arial" w:hAnsi="Arial" w:cs="Arial"/>
                <w:b/>
              </w:rPr>
            </w:pPr>
            <w:r w:rsidRPr="0092673A">
              <w:rPr>
                <w:rFonts w:ascii="Arial" w:hAnsi="Arial" w:cs="Arial"/>
                <w:i/>
              </w:rPr>
              <w:t>CARE nominate</w:t>
            </w:r>
            <w:r w:rsidR="004E51CB">
              <w:rPr>
                <w:rFonts w:ascii="Arial" w:hAnsi="Arial" w:cs="Arial"/>
                <w:i/>
              </w:rPr>
              <w:t>d</w:t>
            </w:r>
            <w:r w:rsidRPr="0092673A">
              <w:rPr>
                <w:rFonts w:ascii="Arial" w:hAnsi="Arial" w:cs="Arial"/>
                <w:i/>
              </w:rPr>
              <w:t xml:space="preserve"> an SRH focal point as part of the response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CC532" w14:textId="15708FBC" w:rsidR="00D8589A" w:rsidRPr="0092673A" w:rsidRDefault="00D8589A" w:rsidP="00D8589A">
            <w:pPr>
              <w:rPr>
                <w:rFonts w:ascii="Arial" w:hAnsi="Arial" w:cs="Arial"/>
                <w:i/>
              </w:rPr>
            </w:pPr>
          </w:p>
        </w:tc>
      </w:tr>
      <w:tr w:rsidR="00D8589A" w:rsidRPr="0092673A" w14:paraId="239A011A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B98BC" w14:textId="77777777" w:rsidR="00D8589A" w:rsidRDefault="00D8589A" w:rsidP="00D858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Was the SRH sub-working activated? If so, who took the lead and at what point in the response?</w:t>
            </w:r>
          </w:p>
          <w:p w14:paraId="1F42137C" w14:textId="1F549B65" w:rsidR="00D8589A" w:rsidRDefault="4DA106F4" w:rsidP="4DA106F4">
            <w:pPr>
              <w:rPr>
                <w:rFonts w:ascii="Arial" w:hAnsi="Arial" w:cs="Arial"/>
                <w:i/>
                <w:iCs/>
              </w:rPr>
            </w:pPr>
            <w:r w:rsidRPr="4DA106F4">
              <w:rPr>
                <w:rFonts w:ascii="Arial" w:hAnsi="Arial" w:cs="Arial"/>
                <w:i/>
                <w:iCs/>
              </w:rPr>
              <w:t>SRH Focal point attended regular SRH SWG meetings (did they attend other cluster meetings (health/ protection?) with all relevant stakeholders to facilitate coordinated action to ensure implementation of the MISP</w:t>
            </w:r>
          </w:p>
          <w:p w14:paraId="1F96E30B" w14:textId="018395DA" w:rsidR="00D8589A" w:rsidRPr="0092673A" w:rsidRDefault="00D8589A" w:rsidP="00D8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CARE share reports/ data feedback with SRH Lead organization?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0E479" w14:textId="21AF8C86" w:rsidR="00D8589A" w:rsidRPr="0092673A" w:rsidRDefault="4DA106F4" w:rsidP="4DA106F4">
            <w:pPr>
              <w:ind w:left="2160"/>
              <w:rPr>
                <w:rFonts w:ascii="Arial" w:hAnsi="Arial" w:cs="Arial"/>
                <w:i/>
                <w:iCs/>
              </w:rPr>
            </w:pPr>
            <w:r w:rsidRPr="4DA106F4">
              <w:rPr>
                <w:rFonts w:ascii="Arial" w:hAnsi="Arial" w:cs="Arial"/>
                <w:i/>
                <w:iCs/>
              </w:rPr>
              <w:t xml:space="preserve">                    </w:t>
            </w:r>
          </w:p>
        </w:tc>
      </w:tr>
      <w:tr w:rsidR="00D8589A" w:rsidRPr="0092673A" w14:paraId="16CBB1C5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48D2F" w14:textId="2C4F08A6" w:rsidR="00D8589A" w:rsidRPr="0092673A" w:rsidRDefault="00D8589A" w:rsidP="00D8589A">
            <w:pPr>
              <w:rPr>
                <w:rFonts w:ascii="Arial" w:hAnsi="Arial" w:cs="Arial"/>
              </w:rPr>
            </w:pPr>
            <w:r w:rsidRPr="0092673A">
              <w:rPr>
                <w:rFonts w:ascii="Arial" w:hAnsi="Arial" w:cs="Arial"/>
                <w:i/>
              </w:rPr>
              <w:t xml:space="preserve">Provides any data and feedback to SRH Lead organization on any issues related to MISP implementation.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40EE1" w14:textId="7AB5581B" w:rsidR="00D8589A" w:rsidRPr="0092673A" w:rsidRDefault="00D8589A" w:rsidP="00D8589A">
            <w:pPr>
              <w:rPr>
                <w:rFonts w:ascii="Arial" w:hAnsi="Arial" w:cs="Arial"/>
                <w:i/>
              </w:rPr>
            </w:pPr>
          </w:p>
        </w:tc>
      </w:tr>
      <w:tr w:rsidR="00D8589A" w:rsidRPr="0092673A" w14:paraId="416FFA94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69362" w14:textId="2A5B6E01" w:rsidR="00D8589A" w:rsidRPr="0092673A" w:rsidRDefault="00D8589A" w:rsidP="00D8589A">
            <w:pPr>
              <w:rPr>
                <w:rFonts w:ascii="Arial" w:hAnsi="Arial" w:cs="Arial"/>
              </w:rPr>
            </w:pPr>
            <w:r w:rsidRPr="0092673A">
              <w:rPr>
                <w:rFonts w:ascii="Arial" w:hAnsi="Arial" w:cs="Arial"/>
                <w:i/>
              </w:rPr>
              <w:t>In tandem with health/GBV/HIV coordination mechanisms, ensures mapping and analysis of existing SRH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532F1" w14:textId="1A01F494" w:rsidR="00D8589A" w:rsidRPr="0092673A" w:rsidRDefault="00D8589A" w:rsidP="00D8589A">
            <w:pPr>
              <w:rPr>
                <w:rFonts w:ascii="Arial" w:hAnsi="Arial" w:cs="Arial"/>
                <w:i/>
              </w:rPr>
            </w:pPr>
          </w:p>
        </w:tc>
      </w:tr>
      <w:tr w:rsidR="00D8589A" w:rsidRPr="0092673A" w14:paraId="2A521C24" w14:textId="77777777" w:rsidTr="4DA106F4">
        <w:trPr>
          <w:trHeight w:val="8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CE46C" w14:textId="1097F65B" w:rsidR="00D8589A" w:rsidRPr="0092673A" w:rsidRDefault="00D8589A" w:rsidP="00D8589A">
            <w:pPr>
              <w:rPr>
                <w:rFonts w:ascii="Arial" w:hAnsi="Arial" w:cs="Arial"/>
              </w:rPr>
            </w:pPr>
            <w:r w:rsidRPr="0092673A">
              <w:rPr>
                <w:rFonts w:ascii="Arial" w:hAnsi="Arial" w:cs="Arial"/>
                <w:i/>
              </w:rPr>
              <w:t>Share information about the availability of SRH services and commodities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2A86" w14:textId="5810937A" w:rsidR="00D8589A" w:rsidRPr="0092673A" w:rsidRDefault="00D8589A" w:rsidP="00D8589A">
            <w:pPr>
              <w:rPr>
                <w:rFonts w:ascii="Arial" w:hAnsi="Arial" w:cs="Arial"/>
                <w:i/>
              </w:rPr>
            </w:pPr>
          </w:p>
        </w:tc>
      </w:tr>
      <w:tr w:rsidR="4DA106F4" w14:paraId="71A6E2B5" w14:textId="77777777" w:rsidTr="4DA106F4">
        <w:trPr>
          <w:trHeight w:val="80"/>
        </w:trPr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E1C0" w14:textId="38F3807C" w:rsidR="4DA106F4" w:rsidRDefault="4DA106F4" w:rsidP="4DA106F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4DA106F4">
              <w:rPr>
                <w:rFonts w:ascii="Arial" w:hAnsi="Arial" w:cs="Arial"/>
                <w:b/>
                <w:bCs/>
                <w:i/>
                <w:iCs/>
              </w:rPr>
              <w:t>Additional Questions on Coordination and Partnerships:</w:t>
            </w:r>
          </w:p>
        </w:tc>
      </w:tr>
      <w:tr w:rsidR="4DA106F4" w14:paraId="5233601C" w14:textId="77777777" w:rsidTr="4DA106F4">
        <w:trPr>
          <w:trHeight w:val="8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7C24F" w14:textId="7812833A" w:rsidR="4DA106F4" w:rsidRDefault="4DA106F4" w:rsidP="4DA106F4">
            <w:pPr>
              <w:spacing w:after="0"/>
              <w:rPr>
                <w:rFonts w:ascii="Arial" w:hAnsi="Arial" w:cs="Arial"/>
                <w:i/>
                <w:iCs/>
                <w:color w:val="70AD47" w:themeColor="accent6"/>
              </w:rPr>
            </w:pPr>
            <w:r w:rsidRPr="4DA106F4">
              <w:rPr>
                <w:rFonts w:ascii="Arial" w:hAnsi="Arial" w:cs="Arial"/>
                <w:i/>
                <w:iCs/>
                <w:color w:val="70AD47" w:themeColor="accent6"/>
              </w:rPr>
              <w:t>What relationship does your CO have with UNFPA at the national and local level? (</w:t>
            </w:r>
            <w:r w:rsidRPr="4DA106F4">
              <w:rPr>
                <w:rFonts w:ascii="Arial" w:hAnsi="Arial" w:cs="Arial"/>
                <w:i/>
                <w:iCs/>
                <w:color w:val="538135" w:themeColor="accent6" w:themeShade="BF"/>
              </w:rPr>
              <w:t>probe</w:t>
            </w:r>
            <w:r w:rsidRPr="4DA106F4">
              <w:rPr>
                <w:rFonts w:ascii="Arial" w:hAnsi="Arial" w:cs="Arial"/>
                <w:i/>
                <w:iCs/>
                <w:color w:val="70AD47" w:themeColor="accent6"/>
              </w:rPr>
              <w:t>: does CARE implement UNFPA funded programming and/or receive supplies and/or undertake joint capacity building)?</w:t>
            </w:r>
          </w:p>
          <w:p w14:paraId="678951FC" w14:textId="04946251" w:rsidR="4DA106F4" w:rsidRDefault="4DA106F4" w:rsidP="4DA106F4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B2D40" w14:textId="15E4EEFC" w:rsidR="4DA106F4" w:rsidRDefault="4DA106F4" w:rsidP="4DA106F4">
            <w:pPr>
              <w:rPr>
                <w:rFonts w:ascii="Arial" w:hAnsi="Arial" w:cs="Arial"/>
                <w:i/>
                <w:iCs/>
              </w:rPr>
            </w:pPr>
          </w:p>
        </w:tc>
      </w:tr>
      <w:tr w:rsidR="4DA106F4" w14:paraId="4CB71621" w14:textId="77777777" w:rsidTr="4DA106F4">
        <w:trPr>
          <w:trHeight w:val="8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D686" w14:textId="17A084E5" w:rsidR="4DA106F4" w:rsidRDefault="4DA106F4" w:rsidP="4DA106F4">
            <w:pPr>
              <w:rPr>
                <w:rFonts w:ascii="Arial" w:hAnsi="Arial" w:cs="Arial"/>
                <w:i/>
                <w:iCs/>
                <w:color w:val="70AD47" w:themeColor="accent6"/>
              </w:rPr>
            </w:pPr>
            <w:r w:rsidRPr="4DA106F4">
              <w:rPr>
                <w:rFonts w:ascii="Arial" w:hAnsi="Arial" w:cs="Arial"/>
                <w:i/>
                <w:iCs/>
                <w:color w:val="70AD47" w:themeColor="accent6"/>
              </w:rPr>
              <w:t>Does CARE have an existing MOU or partnership with the Ministry of Health (and/or district health office)?</w:t>
            </w:r>
          </w:p>
          <w:p w14:paraId="2E644ACC" w14:textId="5A543AD4" w:rsidR="4DA106F4" w:rsidRDefault="4DA106F4" w:rsidP="4DA106F4">
            <w:pPr>
              <w:rPr>
                <w:rFonts w:ascii="Arial" w:hAnsi="Arial" w:cs="Arial"/>
                <w:i/>
                <w:iCs/>
                <w:color w:val="70AD47" w:themeColor="accent6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C03B" w14:textId="17AD5185" w:rsidR="4DA106F4" w:rsidRDefault="4DA106F4" w:rsidP="4DA106F4">
            <w:pPr>
              <w:rPr>
                <w:rFonts w:ascii="Arial" w:hAnsi="Arial" w:cs="Arial"/>
                <w:i/>
                <w:iCs/>
              </w:rPr>
            </w:pPr>
          </w:p>
        </w:tc>
      </w:tr>
      <w:tr w:rsidR="4DA106F4" w14:paraId="0688EE88" w14:textId="77777777" w:rsidTr="4DA106F4">
        <w:trPr>
          <w:trHeight w:val="8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34DDA" w14:textId="7410282E" w:rsidR="4DA106F4" w:rsidRDefault="4DA106F4" w:rsidP="4DA106F4">
            <w:pPr>
              <w:spacing w:after="0"/>
              <w:ind w:left="-360"/>
              <w:rPr>
                <w:rFonts w:ascii="Arial" w:hAnsi="Arial" w:cs="Arial"/>
                <w:i/>
                <w:iCs/>
                <w:color w:val="70AD47" w:themeColor="accent6"/>
              </w:rPr>
            </w:pPr>
            <w:r w:rsidRPr="4DA106F4">
              <w:rPr>
                <w:rFonts w:ascii="Arial" w:hAnsi="Arial" w:cs="Arial"/>
                <w:i/>
                <w:iCs/>
                <w:color w:val="70AD47" w:themeColor="accent6"/>
              </w:rPr>
              <w:t>Is your CO part of a coalition, technical working group, or national multi-</w:t>
            </w:r>
            <w:proofErr w:type="gramStart"/>
            <w:r w:rsidRPr="4DA106F4">
              <w:rPr>
                <w:rFonts w:ascii="Arial" w:hAnsi="Arial" w:cs="Arial"/>
                <w:i/>
                <w:iCs/>
                <w:color w:val="70AD47" w:themeColor="accent6"/>
              </w:rPr>
              <w:t>actors</w:t>
            </w:r>
            <w:proofErr w:type="gramEnd"/>
            <w:r w:rsidRPr="4DA106F4">
              <w:rPr>
                <w:rFonts w:ascii="Arial" w:hAnsi="Arial" w:cs="Arial"/>
                <w:i/>
                <w:iCs/>
                <w:color w:val="70AD47" w:themeColor="accent6"/>
              </w:rPr>
              <w:t xml:space="preserve"> platform?</w:t>
            </w:r>
          </w:p>
          <w:p w14:paraId="5FD6CCB4" w14:textId="61536355" w:rsidR="4DA106F4" w:rsidRDefault="4DA106F4" w:rsidP="4DA106F4">
            <w:pPr>
              <w:rPr>
                <w:rFonts w:ascii="Arial" w:hAnsi="Arial" w:cs="Arial"/>
                <w:i/>
                <w:iCs/>
                <w:color w:val="70AD47" w:themeColor="accent6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9B736" w14:textId="41EEB133" w:rsidR="4DA106F4" w:rsidRDefault="4DA106F4" w:rsidP="4DA106F4">
            <w:pPr>
              <w:rPr>
                <w:rFonts w:ascii="Arial" w:hAnsi="Arial" w:cs="Arial"/>
                <w:i/>
                <w:iCs/>
              </w:rPr>
            </w:pPr>
          </w:p>
        </w:tc>
      </w:tr>
      <w:tr w:rsidR="4DA106F4" w14:paraId="3541A38F" w14:textId="77777777" w:rsidTr="4DA106F4">
        <w:trPr>
          <w:trHeight w:val="8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D2C25" w14:textId="1EE06861" w:rsidR="4DA106F4" w:rsidRDefault="4DA106F4" w:rsidP="4DA106F4">
            <w:pPr>
              <w:rPr>
                <w:rFonts w:ascii="Arial" w:hAnsi="Arial" w:cs="Arial"/>
                <w:i/>
                <w:iCs/>
                <w:color w:val="70AD47" w:themeColor="accent6"/>
              </w:rPr>
            </w:pPr>
            <w:r w:rsidRPr="4DA106F4">
              <w:rPr>
                <w:rFonts w:ascii="Arial" w:hAnsi="Arial" w:cs="Arial"/>
                <w:i/>
                <w:iCs/>
                <w:color w:val="70AD47" w:themeColor="accent6"/>
              </w:rPr>
              <w:t xml:space="preserve">Local Partners: </w:t>
            </w:r>
          </w:p>
          <w:p w14:paraId="3DC330E1" w14:textId="723C73EF" w:rsidR="4DA106F4" w:rsidRDefault="4DA106F4" w:rsidP="4DA106F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color w:val="70AD47" w:themeColor="accent6"/>
              </w:rPr>
            </w:pPr>
            <w:r w:rsidRPr="4DA106F4">
              <w:rPr>
                <w:rFonts w:ascii="Arial" w:hAnsi="Arial" w:cs="Arial"/>
                <w:i/>
                <w:iCs/>
                <w:color w:val="70AD47" w:themeColor="accent6"/>
              </w:rPr>
              <w:t xml:space="preserve">Has CARE identified local partners with </w:t>
            </w:r>
            <w:proofErr w:type="spellStart"/>
            <w:r w:rsidRPr="4DA106F4">
              <w:rPr>
                <w:rFonts w:ascii="Arial" w:hAnsi="Arial" w:cs="Arial"/>
                <w:i/>
                <w:iCs/>
                <w:color w:val="70AD47" w:themeColor="accent6"/>
              </w:rPr>
              <w:t>SRHiE</w:t>
            </w:r>
            <w:proofErr w:type="spellEnd"/>
            <w:r w:rsidRPr="4DA106F4">
              <w:rPr>
                <w:rFonts w:ascii="Arial" w:hAnsi="Arial" w:cs="Arial"/>
                <w:i/>
                <w:iCs/>
                <w:color w:val="70AD47" w:themeColor="accent6"/>
              </w:rPr>
              <w:t xml:space="preserve"> capacity?</w:t>
            </w:r>
          </w:p>
          <w:p w14:paraId="131F26D8" w14:textId="16067DED" w:rsidR="4DA106F4" w:rsidRDefault="4DA106F4" w:rsidP="4DA106F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color w:val="70AD47" w:themeColor="accent6"/>
              </w:rPr>
            </w:pPr>
            <w:r w:rsidRPr="4DA106F4">
              <w:rPr>
                <w:rFonts w:ascii="Arial" w:hAnsi="Arial" w:cs="Arial"/>
                <w:i/>
                <w:iCs/>
                <w:color w:val="70AD47" w:themeColor="accent6"/>
              </w:rPr>
              <w:lastRenderedPageBreak/>
              <w:t>If yes, how did you assess capacity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78177" w14:textId="1947622B" w:rsidR="4DA106F4" w:rsidRDefault="4DA106F4" w:rsidP="4DA106F4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D8589A" w:rsidRPr="0092673A" w14:paraId="7F7AA049" w14:textId="77777777" w:rsidTr="4DA106F4">
        <w:trPr>
          <w:trHeight w:val="8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8126" w14:textId="2F66D3F2" w:rsidR="00D8589A" w:rsidRPr="007C6056" w:rsidRDefault="00D8589A" w:rsidP="00D8589A">
            <w:pPr>
              <w:rPr>
                <w:rFonts w:ascii="Arial" w:hAnsi="Arial" w:cs="Arial"/>
                <w:color w:val="4472C4" w:themeColor="accent1"/>
                <w:u w:val="single"/>
              </w:rPr>
            </w:pPr>
            <w:r w:rsidRPr="007C6056">
              <w:rPr>
                <w:rFonts w:ascii="Arial" w:hAnsi="Arial" w:cs="Arial"/>
                <w:color w:val="4472C4" w:themeColor="accent1"/>
                <w:u w:val="single"/>
              </w:rPr>
              <w:t xml:space="preserve">Objective 1 Promising Practices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D614C" w14:textId="77777777" w:rsidR="00D8589A" w:rsidRPr="0092673A" w:rsidRDefault="00D8589A" w:rsidP="00D8589A">
            <w:pPr>
              <w:rPr>
                <w:rFonts w:ascii="Arial" w:hAnsi="Arial" w:cs="Arial"/>
                <w:i/>
              </w:rPr>
            </w:pPr>
          </w:p>
        </w:tc>
      </w:tr>
      <w:tr w:rsidR="00D8589A" w:rsidRPr="0092673A" w14:paraId="14D93510" w14:textId="77777777" w:rsidTr="4DA106F4">
        <w:trPr>
          <w:trHeight w:val="8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98C70" w14:textId="54AD0038" w:rsidR="00D8589A" w:rsidRPr="007C6056" w:rsidRDefault="00D8589A" w:rsidP="00D8589A">
            <w:pPr>
              <w:rPr>
                <w:rFonts w:ascii="Arial" w:hAnsi="Arial" w:cs="Arial"/>
                <w:color w:val="4472C4" w:themeColor="accent1"/>
                <w:u w:val="single"/>
              </w:rPr>
            </w:pPr>
            <w:r w:rsidRPr="007C6056">
              <w:rPr>
                <w:rFonts w:ascii="Arial" w:hAnsi="Arial" w:cs="Arial"/>
                <w:color w:val="4472C4" w:themeColor="accent1"/>
                <w:u w:val="single"/>
              </w:rPr>
              <w:t>Objective 1 Challenges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D5818" w14:textId="77777777" w:rsidR="00D8589A" w:rsidRPr="0092673A" w:rsidRDefault="00D8589A" w:rsidP="00D8589A">
            <w:pPr>
              <w:rPr>
                <w:rFonts w:ascii="Arial" w:hAnsi="Arial" w:cs="Arial"/>
                <w:i/>
              </w:rPr>
            </w:pPr>
          </w:p>
        </w:tc>
      </w:tr>
      <w:tr w:rsidR="00D8589A" w:rsidRPr="0092673A" w14:paraId="7B55BBF4" w14:textId="77777777" w:rsidTr="4DA106F4">
        <w:trPr>
          <w:trHeight w:val="8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FBEB1" w14:textId="5E03A4FF" w:rsidR="00D8589A" w:rsidRPr="007C6056" w:rsidRDefault="00D8589A" w:rsidP="00D8589A">
            <w:pPr>
              <w:rPr>
                <w:rFonts w:ascii="Arial" w:hAnsi="Arial" w:cs="Arial"/>
                <w:color w:val="4472C4" w:themeColor="accent1"/>
                <w:u w:val="single"/>
              </w:rPr>
            </w:pPr>
            <w:r w:rsidRPr="007C6056">
              <w:rPr>
                <w:rFonts w:ascii="Arial" w:hAnsi="Arial" w:cs="Arial"/>
                <w:color w:val="4472C4" w:themeColor="accent1"/>
                <w:u w:val="single"/>
              </w:rPr>
              <w:t>Objective 1 Recommendations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36B3C" w14:textId="1B489C78" w:rsidR="00D8589A" w:rsidRPr="0092673A" w:rsidRDefault="00D8589A" w:rsidP="00D8589A">
            <w:pPr>
              <w:rPr>
                <w:rFonts w:ascii="Arial" w:hAnsi="Arial" w:cs="Arial"/>
                <w:i/>
              </w:rPr>
            </w:pPr>
          </w:p>
        </w:tc>
      </w:tr>
      <w:tr w:rsidR="00D8589A" w:rsidRPr="0092673A" w14:paraId="30FF2774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B372B" w14:textId="654877D1" w:rsidR="00D8589A" w:rsidRPr="0092673A" w:rsidRDefault="00D8589A" w:rsidP="00D8589A">
            <w:pPr>
              <w:rPr>
                <w:rFonts w:ascii="Arial" w:hAnsi="Arial" w:cs="Arial"/>
                <w:b/>
              </w:rPr>
            </w:pPr>
            <w:r w:rsidRPr="0092673A">
              <w:rPr>
                <w:rFonts w:ascii="Arial" w:hAnsi="Arial" w:cs="Arial"/>
                <w:b/>
              </w:rPr>
              <w:t xml:space="preserve">Objective 2: </w:t>
            </w:r>
            <w:r w:rsidRPr="0092673A">
              <w:rPr>
                <w:rStyle w:val="normaltextrun"/>
                <w:rFonts w:ascii="Arial" w:hAnsi="Arial" w:cs="Arial"/>
                <w:b/>
                <w:shd w:val="clear" w:color="auto" w:fill="FFFFFF"/>
              </w:rPr>
              <w:t>Prevent sexual violence and respond </w:t>
            </w:r>
            <w:r w:rsidRPr="0092673A">
              <w:rPr>
                <w:rStyle w:val="normaltextrun"/>
                <w:rFonts w:ascii="Arial" w:hAnsi="Arial" w:cs="Arial"/>
                <w:b/>
                <w:color w:val="000000"/>
                <w:shd w:val="clear" w:color="auto" w:fill="FFFFFF"/>
              </w:rPr>
              <w:t>to the needs of survivors:</w:t>
            </w:r>
            <w:r w:rsidRPr="0092673A">
              <w:rPr>
                <w:rStyle w:val="eop"/>
                <w:rFonts w:ascii="Arial" w:hAnsi="Arial" w:cs="Arial"/>
                <w:b/>
                <w:color w:val="000000"/>
                <w:shd w:val="clear" w:color="auto" w:fill="FFFFFF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2E5C3" w14:textId="42B9C7D0" w:rsidR="00D8589A" w:rsidRPr="001026C8" w:rsidRDefault="00535F54" w:rsidP="00D8589A">
            <w:pPr>
              <w:rPr>
                <w:rStyle w:val="eop"/>
                <w:rFonts w:ascii="Arial" w:hAnsi="Arial" w:cs="Arial"/>
                <w:b/>
                <w:i/>
                <w:color w:val="000000"/>
                <w:sz w:val="24"/>
                <w:shd w:val="clear" w:color="auto" w:fill="FFFFFF"/>
              </w:rPr>
            </w:pPr>
            <w:r w:rsidRPr="001026C8">
              <w:rPr>
                <w:rStyle w:val="normaltextrun"/>
                <w:b/>
                <w:sz w:val="24"/>
              </w:rPr>
              <w:t>Yes/No/Partially</w:t>
            </w:r>
          </w:p>
          <w:p w14:paraId="7FC483BF" w14:textId="10B067E2" w:rsidR="00D8589A" w:rsidRPr="008869B0" w:rsidRDefault="00D8589A" w:rsidP="00D8589A">
            <w:pPr>
              <w:rPr>
                <w:rFonts w:ascii="Arial" w:hAnsi="Arial" w:cs="Arial"/>
                <w:i/>
              </w:rPr>
            </w:pPr>
          </w:p>
        </w:tc>
      </w:tr>
      <w:tr w:rsidR="00F62E50" w:rsidRPr="0092673A" w14:paraId="11CC50C8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0950" w14:textId="5A8E1082" w:rsidR="00F62E50" w:rsidRPr="0092673A" w:rsidRDefault="00F62E50" w:rsidP="00D8589A">
            <w:pPr>
              <w:rPr>
                <w:rFonts w:ascii="Arial" w:hAnsi="Arial" w:cs="Arial"/>
              </w:rPr>
            </w:pPr>
            <w:r w:rsidRPr="003D0B94">
              <w:rPr>
                <w:rFonts w:ascii="Arial" w:hAnsi="Arial" w:cs="Arial"/>
                <w:i/>
              </w:rPr>
              <w:t>Provision of clinical management of rape services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0B6A9" w14:textId="77777777" w:rsidR="00F62E50" w:rsidRPr="0092673A" w:rsidRDefault="00F62E50" w:rsidP="00D8589A">
            <w:pPr>
              <w:rPr>
                <w:rFonts w:ascii="Arial" w:hAnsi="Arial" w:cs="Arial"/>
              </w:rPr>
            </w:pPr>
          </w:p>
        </w:tc>
      </w:tr>
      <w:tr w:rsidR="00D8589A" w:rsidRPr="0092673A" w14:paraId="4ACF2E65" w14:textId="77777777" w:rsidTr="4DA106F4">
        <w:trPr>
          <w:trHeight w:val="107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CEEFA" w14:textId="14D13F2B" w:rsidR="00D8589A" w:rsidRPr="0092673A" w:rsidRDefault="00D8589A" w:rsidP="00D8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Referral for CMR and/or other GBV services (if so, please explain process)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77FD1" w14:textId="6D5C9BC8" w:rsidR="00D8589A" w:rsidRPr="0092673A" w:rsidRDefault="00D8589A" w:rsidP="00D8589A">
            <w:pPr>
              <w:rPr>
                <w:rFonts w:ascii="Arial" w:hAnsi="Arial" w:cs="Arial"/>
              </w:rPr>
            </w:pPr>
          </w:p>
        </w:tc>
      </w:tr>
      <w:tr w:rsidR="00535F54" w:rsidRPr="0092673A" w14:paraId="5EF146F4" w14:textId="77777777" w:rsidTr="4DA106F4">
        <w:trPr>
          <w:trHeight w:val="107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BF178" w14:textId="0B0364AE" w:rsidR="00535F54" w:rsidRDefault="00535F54" w:rsidP="00D858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Put in place confidential and safe spaces within the health facilities to receive and provide survivors of sexual violence with appropriate clinical care and referral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53F9" w14:textId="77777777" w:rsidR="00535F54" w:rsidRPr="0092673A" w:rsidRDefault="00535F54" w:rsidP="00D8589A">
            <w:pPr>
              <w:rPr>
                <w:rFonts w:ascii="Arial" w:hAnsi="Arial" w:cs="Arial"/>
              </w:rPr>
            </w:pPr>
          </w:p>
        </w:tc>
      </w:tr>
      <w:tr w:rsidR="00F62E50" w:rsidRPr="0092673A" w14:paraId="357BB769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8FBF5" w14:textId="3A35E874" w:rsidR="00F62E50" w:rsidRPr="007C6056" w:rsidRDefault="00F62E50" w:rsidP="00F62E50">
            <w:pPr>
              <w:rPr>
                <w:rFonts w:ascii="Arial" w:hAnsi="Arial" w:cs="Arial"/>
                <w:bCs/>
                <w:color w:val="4472C4" w:themeColor="accent1"/>
                <w:u w:val="single"/>
              </w:rPr>
            </w:pPr>
            <w:bookmarkStart w:id="1" w:name="_Hlk23234165"/>
            <w:r w:rsidRPr="007C6056">
              <w:rPr>
                <w:rFonts w:ascii="Arial" w:hAnsi="Arial" w:cs="Arial"/>
                <w:color w:val="4472C4" w:themeColor="accent1"/>
                <w:u w:val="single"/>
              </w:rPr>
              <w:t xml:space="preserve">Objective 2 Promising Practices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6BD5F" w14:textId="77777777" w:rsidR="00F62E50" w:rsidRPr="0092673A" w:rsidRDefault="00F62E50" w:rsidP="00F62E50">
            <w:pPr>
              <w:rPr>
                <w:rFonts w:ascii="Arial" w:hAnsi="Arial" w:cs="Arial"/>
              </w:rPr>
            </w:pPr>
          </w:p>
        </w:tc>
      </w:tr>
      <w:tr w:rsidR="00F62E50" w:rsidRPr="0092673A" w14:paraId="6CFCA7D7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0FF69" w14:textId="79B1D42E" w:rsidR="00F62E50" w:rsidRPr="007C6056" w:rsidRDefault="00F62E50" w:rsidP="00F62E50">
            <w:pPr>
              <w:rPr>
                <w:rFonts w:ascii="Arial" w:hAnsi="Arial" w:cs="Arial"/>
                <w:bCs/>
                <w:color w:val="4472C4" w:themeColor="accent1"/>
                <w:u w:val="single"/>
              </w:rPr>
            </w:pPr>
            <w:r w:rsidRPr="007C6056">
              <w:rPr>
                <w:rFonts w:ascii="Arial" w:hAnsi="Arial" w:cs="Arial"/>
                <w:color w:val="4472C4" w:themeColor="accent1"/>
                <w:u w:val="single"/>
              </w:rPr>
              <w:t>Objective 2 Challenges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4EA3" w14:textId="77777777" w:rsidR="00F62E50" w:rsidRPr="0092673A" w:rsidRDefault="00F62E50" w:rsidP="00F62E50">
            <w:pPr>
              <w:rPr>
                <w:rFonts w:ascii="Arial" w:hAnsi="Arial" w:cs="Arial"/>
              </w:rPr>
            </w:pPr>
          </w:p>
        </w:tc>
      </w:tr>
      <w:tr w:rsidR="00F62E50" w:rsidRPr="0092673A" w14:paraId="06E5FC58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F29CE" w14:textId="6091AF42" w:rsidR="00F62E50" w:rsidRPr="007C6056" w:rsidRDefault="00F62E50" w:rsidP="00F62E50">
            <w:pPr>
              <w:rPr>
                <w:rFonts w:ascii="Arial" w:hAnsi="Arial" w:cs="Arial"/>
                <w:color w:val="4472C4" w:themeColor="accent1"/>
                <w:u w:val="single"/>
              </w:rPr>
            </w:pPr>
            <w:r w:rsidRPr="007C6056">
              <w:rPr>
                <w:rFonts w:ascii="Arial" w:hAnsi="Arial" w:cs="Arial"/>
                <w:color w:val="4472C4" w:themeColor="accent1"/>
                <w:u w:val="single"/>
              </w:rPr>
              <w:t>Objective 2 Recommendations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3919C" w14:textId="77777777" w:rsidR="00F62E50" w:rsidRPr="0092673A" w:rsidRDefault="00F62E50" w:rsidP="00F62E50">
            <w:pPr>
              <w:rPr>
                <w:rFonts w:ascii="Arial" w:hAnsi="Arial" w:cs="Arial"/>
              </w:rPr>
            </w:pPr>
          </w:p>
        </w:tc>
      </w:tr>
      <w:bookmarkEnd w:id="1"/>
      <w:tr w:rsidR="00F62E50" w:rsidRPr="0092673A" w14:paraId="5BEE8E7B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823A" w14:textId="06531C10" w:rsidR="00F62E50" w:rsidRPr="007C6056" w:rsidRDefault="00F62E50" w:rsidP="00D8589A">
            <w:pPr>
              <w:rPr>
                <w:rFonts w:ascii="Arial" w:hAnsi="Arial" w:cs="Arial"/>
                <w:b/>
                <w:u w:val="single"/>
              </w:rPr>
            </w:pPr>
            <w:r w:rsidRPr="007C6056">
              <w:rPr>
                <w:rFonts w:ascii="Arial" w:hAnsi="Arial" w:cs="Arial"/>
                <w:b/>
                <w:bCs/>
                <w:u w:val="single"/>
              </w:rPr>
              <w:t>Objective 3. Prevent the transmission of and reduce morbidity and mortality due to HIV and other STI’s</w:t>
            </w:r>
          </w:p>
          <w:p w14:paraId="5E6900A4" w14:textId="5030F37F" w:rsidR="00F62E50" w:rsidRPr="00310CD0" w:rsidRDefault="00F62E50" w:rsidP="00D8589A">
            <w:pPr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3B0B3" w14:textId="77777777" w:rsidR="00F62E50" w:rsidRPr="0092673A" w:rsidRDefault="00F62E50" w:rsidP="00D8589A">
            <w:pPr>
              <w:rPr>
                <w:rFonts w:ascii="Arial" w:hAnsi="Arial" w:cs="Arial"/>
              </w:rPr>
            </w:pPr>
          </w:p>
        </w:tc>
      </w:tr>
      <w:tr w:rsidR="00F62E50" w:rsidRPr="0092673A" w14:paraId="6854182B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06AA6" w14:textId="48A38736" w:rsidR="00F62E50" w:rsidRPr="00535F54" w:rsidRDefault="00535F54" w:rsidP="00D8589A">
            <w:pPr>
              <w:rPr>
                <w:rFonts w:ascii="Arial" w:hAnsi="Arial" w:cs="Arial"/>
                <w:i/>
              </w:rPr>
            </w:pPr>
            <w:r w:rsidRPr="00535F54">
              <w:rPr>
                <w:rFonts w:ascii="Arial" w:hAnsi="Arial" w:cs="Arial"/>
                <w:i/>
              </w:rPr>
              <w:t>Establish safe and rational use of blood transfusion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4CCDD" w14:textId="77777777" w:rsidR="00F62E50" w:rsidRPr="0092673A" w:rsidRDefault="00F62E50" w:rsidP="00D8589A">
            <w:pPr>
              <w:rPr>
                <w:rFonts w:ascii="Arial" w:hAnsi="Arial" w:cs="Arial"/>
              </w:rPr>
            </w:pPr>
          </w:p>
        </w:tc>
      </w:tr>
      <w:tr w:rsidR="00F62E50" w:rsidRPr="0092673A" w14:paraId="7E30564B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2C79" w14:textId="4AB8DE8F" w:rsidR="00F62E50" w:rsidRPr="00535F54" w:rsidRDefault="00535F54" w:rsidP="00D8589A">
            <w:pPr>
              <w:rPr>
                <w:rFonts w:ascii="Arial" w:hAnsi="Arial" w:cs="Arial"/>
                <w:i/>
              </w:rPr>
            </w:pPr>
            <w:r w:rsidRPr="00535F54">
              <w:rPr>
                <w:rFonts w:ascii="Arial" w:hAnsi="Arial" w:cs="Arial"/>
                <w:i/>
              </w:rPr>
              <w:t>Ensure application of standard precautions</w:t>
            </w:r>
          </w:p>
        </w:tc>
        <w:tc>
          <w:tcPr>
            <w:tcW w:w="40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E1CB7" w14:textId="77777777" w:rsidR="00F62E50" w:rsidRPr="0092673A" w:rsidRDefault="00F62E50" w:rsidP="00D8589A">
            <w:pPr>
              <w:rPr>
                <w:rFonts w:ascii="Arial" w:hAnsi="Arial" w:cs="Arial"/>
              </w:rPr>
            </w:pPr>
          </w:p>
        </w:tc>
      </w:tr>
      <w:tr w:rsidR="00F62E50" w:rsidRPr="0092673A" w14:paraId="56D43A3A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1B0CC" w14:textId="73458E99" w:rsidR="00F62E50" w:rsidRPr="00535F54" w:rsidRDefault="00535F54" w:rsidP="00D8589A">
            <w:pPr>
              <w:rPr>
                <w:rFonts w:ascii="Arial" w:hAnsi="Arial" w:cs="Arial"/>
                <w:i/>
              </w:rPr>
            </w:pPr>
            <w:r w:rsidRPr="00535F54">
              <w:rPr>
                <w:rFonts w:ascii="Arial" w:hAnsi="Arial" w:cs="Arial"/>
                <w:i/>
              </w:rPr>
              <w:t>Guarantee the availability of free lubricated male condoms and, where applicable (e.g. already used by the population), ensure provision of female condoms</w:t>
            </w:r>
          </w:p>
        </w:tc>
        <w:tc>
          <w:tcPr>
            <w:tcW w:w="40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BA776" w14:textId="77777777" w:rsidR="00F62E50" w:rsidRPr="0092673A" w:rsidRDefault="00F62E50" w:rsidP="00D8589A">
            <w:pPr>
              <w:rPr>
                <w:rFonts w:ascii="Arial" w:hAnsi="Arial" w:cs="Arial"/>
              </w:rPr>
            </w:pPr>
          </w:p>
        </w:tc>
      </w:tr>
      <w:tr w:rsidR="00535F54" w:rsidRPr="0092673A" w14:paraId="19B29D13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2E9B1" w14:textId="66F993C8" w:rsidR="00535F54" w:rsidRPr="00535F54" w:rsidRDefault="00535F54" w:rsidP="00D858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Provide PEP to survivors of sexual violence as appropriate and for occupational exposure</w:t>
            </w:r>
          </w:p>
        </w:tc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C1DDD" w14:textId="77777777" w:rsidR="00535F54" w:rsidRPr="0092673A" w:rsidRDefault="00535F54" w:rsidP="00D8589A">
            <w:pPr>
              <w:rPr>
                <w:rFonts w:ascii="Arial" w:hAnsi="Arial" w:cs="Arial"/>
              </w:rPr>
            </w:pPr>
          </w:p>
        </w:tc>
      </w:tr>
      <w:tr w:rsidR="00535F54" w:rsidRPr="0092673A" w14:paraId="261E1165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2F324" w14:textId="76CDA74B" w:rsidR="00535F54" w:rsidRDefault="00535F54" w:rsidP="00D858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Support the provision of co-trimoxazole prophylaxis for opportunistic infections for patients found to have HIV or already diagnosed with HIV</w:t>
            </w:r>
          </w:p>
        </w:tc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65D9" w14:textId="77777777" w:rsidR="00535F54" w:rsidRPr="0092673A" w:rsidRDefault="00535F54" w:rsidP="00D8589A">
            <w:pPr>
              <w:rPr>
                <w:rFonts w:ascii="Arial" w:hAnsi="Arial" w:cs="Arial"/>
              </w:rPr>
            </w:pPr>
          </w:p>
        </w:tc>
      </w:tr>
      <w:tr w:rsidR="00535F54" w:rsidRPr="0092673A" w14:paraId="16D5A32F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0F896" w14:textId="50CBBEC8" w:rsidR="00535F54" w:rsidRDefault="00535F54" w:rsidP="00D858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Ensure the availability of health facilities of syndromic diagnosis and treatment of STI’s</w:t>
            </w:r>
          </w:p>
        </w:tc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7099" w14:textId="77777777" w:rsidR="00535F54" w:rsidRPr="0092673A" w:rsidRDefault="00535F54" w:rsidP="00D8589A">
            <w:pPr>
              <w:rPr>
                <w:rFonts w:ascii="Arial" w:hAnsi="Arial" w:cs="Arial"/>
              </w:rPr>
            </w:pPr>
          </w:p>
        </w:tc>
      </w:tr>
      <w:tr w:rsidR="00CC602F" w:rsidRPr="0092673A" w14:paraId="4F20355E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EF9A9" w14:textId="3941DC06" w:rsidR="00CC602F" w:rsidRPr="007C6056" w:rsidRDefault="00CC602F" w:rsidP="009E0555">
            <w:pPr>
              <w:rPr>
                <w:rFonts w:ascii="Arial" w:hAnsi="Arial" w:cs="Arial"/>
                <w:bCs/>
                <w:color w:val="4472C4" w:themeColor="accent1"/>
                <w:u w:val="single"/>
              </w:rPr>
            </w:pPr>
            <w:r w:rsidRPr="007C6056">
              <w:rPr>
                <w:rFonts w:ascii="Arial" w:hAnsi="Arial" w:cs="Arial"/>
                <w:color w:val="4472C4" w:themeColor="accent1"/>
                <w:u w:val="single"/>
              </w:rPr>
              <w:lastRenderedPageBreak/>
              <w:t xml:space="preserve">Objective 3 Promising Practices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C9B57" w14:textId="77777777" w:rsidR="00CC602F" w:rsidRPr="0092673A" w:rsidRDefault="00CC602F" w:rsidP="009E0555">
            <w:pPr>
              <w:rPr>
                <w:rFonts w:ascii="Arial" w:hAnsi="Arial" w:cs="Arial"/>
              </w:rPr>
            </w:pPr>
          </w:p>
        </w:tc>
      </w:tr>
      <w:tr w:rsidR="00CC602F" w:rsidRPr="0092673A" w14:paraId="75CD7FBB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C2C0B" w14:textId="248BFE2F" w:rsidR="00CC602F" w:rsidRPr="007C6056" w:rsidRDefault="00CC602F" w:rsidP="009E0555">
            <w:pPr>
              <w:rPr>
                <w:rFonts w:ascii="Arial" w:hAnsi="Arial" w:cs="Arial"/>
                <w:bCs/>
                <w:color w:val="4472C4" w:themeColor="accent1"/>
                <w:u w:val="single"/>
              </w:rPr>
            </w:pPr>
            <w:r w:rsidRPr="007C6056">
              <w:rPr>
                <w:rFonts w:ascii="Arial" w:hAnsi="Arial" w:cs="Arial"/>
                <w:color w:val="4472C4" w:themeColor="accent1"/>
                <w:u w:val="single"/>
              </w:rPr>
              <w:t>Objective 3 Challenges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2741E" w14:textId="77777777" w:rsidR="00CC602F" w:rsidRPr="0092673A" w:rsidRDefault="00CC602F" w:rsidP="009E0555">
            <w:pPr>
              <w:rPr>
                <w:rFonts w:ascii="Arial" w:hAnsi="Arial" w:cs="Arial"/>
              </w:rPr>
            </w:pPr>
          </w:p>
        </w:tc>
      </w:tr>
      <w:tr w:rsidR="00CC602F" w:rsidRPr="0092673A" w14:paraId="5C5D9B24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A2B28" w14:textId="3EE2F221" w:rsidR="00CC602F" w:rsidRPr="007C6056" w:rsidRDefault="00CC602F" w:rsidP="009E0555">
            <w:pPr>
              <w:rPr>
                <w:rFonts w:ascii="Arial" w:hAnsi="Arial" w:cs="Arial"/>
                <w:color w:val="4472C4" w:themeColor="accent1"/>
                <w:u w:val="single"/>
              </w:rPr>
            </w:pPr>
            <w:r w:rsidRPr="007C6056">
              <w:rPr>
                <w:rFonts w:ascii="Arial" w:hAnsi="Arial" w:cs="Arial"/>
                <w:color w:val="4472C4" w:themeColor="accent1"/>
                <w:u w:val="single"/>
              </w:rPr>
              <w:t>Objective 3 Recommendations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6920C" w14:textId="77777777" w:rsidR="00CC602F" w:rsidRPr="0092673A" w:rsidRDefault="00CC602F" w:rsidP="009E0555">
            <w:pPr>
              <w:rPr>
                <w:rFonts w:ascii="Arial" w:hAnsi="Arial" w:cs="Arial"/>
              </w:rPr>
            </w:pPr>
          </w:p>
        </w:tc>
      </w:tr>
      <w:tr w:rsidR="00F62E50" w:rsidRPr="0092673A" w14:paraId="1EB12839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5B080" w14:textId="2DF980AC" w:rsidR="00F62E50" w:rsidRPr="0092673A" w:rsidRDefault="00F62E50" w:rsidP="00D8589A">
            <w:pPr>
              <w:rPr>
                <w:rFonts w:ascii="Arial" w:hAnsi="Arial" w:cs="Arial"/>
              </w:rPr>
            </w:pPr>
            <w:r w:rsidRPr="47DE3D98">
              <w:rPr>
                <w:rFonts w:ascii="Arial" w:hAnsi="Arial" w:cs="Arial"/>
                <w:b/>
                <w:bCs/>
              </w:rPr>
              <w:t>Objective 4. Prevent Excess Maternal and Newborn Mortality and Morbidity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A065" w14:textId="13096916" w:rsidR="00F62E50" w:rsidRPr="001026C8" w:rsidRDefault="00CC602F" w:rsidP="00D8589A">
            <w:pPr>
              <w:rPr>
                <w:rFonts w:ascii="Arial" w:hAnsi="Arial" w:cs="Arial"/>
                <w:b/>
              </w:rPr>
            </w:pPr>
            <w:r w:rsidRPr="001026C8">
              <w:rPr>
                <w:rFonts w:ascii="Arial" w:hAnsi="Arial" w:cs="Arial"/>
                <w:b/>
              </w:rPr>
              <w:t>Yes/No/Partially</w:t>
            </w:r>
          </w:p>
        </w:tc>
      </w:tr>
      <w:tr w:rsidR="00F62E50" w:rsidRPr="0092673A" w14:paraId="58233024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410D8" w14:textId="77777777" w:rsidR="00CC602F" w:rsidRPr="00CC602F" w:rsidRDefault="00CC602F" w:rsidP="00D8589A">
            <w:pPr>
              <w:rPr>
                <w:rFonts w:ascii="Arial" w:hAnsi="Arial" w:cs="Arial"/>
                <w:i/>
              </w:rPr>
            </w:pPr>
            <w:r w:rsidRPr="00CC602F">
              <w:rPr>
                <w:rFonts w:ascii="Arial" w:hAnsi="Arial" w:cs="Arial"/>
                <w:i/>
              </w:rPr>
              <w:t xml:space="preserve">Ensure availability and accessibility of clean and safe delivery, essential newborn care, and lifesaving emergency obstetric and </w:t>
            </w:r>
            <w:proofErr w:type="spellStart"/>
            <w:r w:rsidRPr="00CC602F">
              <w:rPr>
                <w:rFonts w:ascii="Arial" w:hAnsi="Arial" w:cs="Arial"/>
                <w:i/>
              </w:rPr>
              <w:t>EmONC</w:t>
            </w:r>
            <w:proofErr w:type="spellEnd"/>
            <w:r w:rsidRPr="00CC602F">
              <w:rPr>
                <w:rFonts w:ascii="Arial" w:hAnsi="Arial" w:cs="Arial"/>
                <w:i/>
              </w:rPr>
              <w:t xml:space="preserve"> services including</w:t>
            </w:r>
          </w:p>
          <w:p w14:paraId="6C675A13" w14:textId="2255B540" w:rsidR="00CC602F" w:rsidRPr="00CC602F" w:rsidRDefault="00CC602F" w:rsidP="00CC602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</w:rPr>
            </w:pPr>
            <w:r w:rsidRPr="00CC602F">
              <w:rPr>
                <w:rFonts w:ascii="Arial" w:hAnsi="Arial" w:cs="Arial"/>
                <w:i/>
              </w:rPr>
              <w:t xml:space="preserve">Referral hospital level </w:t>
            </w:r>
            <w:r>
              <w:rPr>
                <w:rFonts w:ascii="Arial" w:hAnsi="Arial" w:cs="Arial"/>
                <w:i/>
              </w:rPr>
              <w:t xml:space="preserve">– Skilled medical staff and supplies for </w:t>
            </w:r>
            <w:proofErr w:type="spellStart"/>
            <w:r>
              <w:rPr>
                <w:rFonts w:ascii="Arial" w:hAnsi="Arial" w:cs="Arial"/>
                <w:i/>
              </w:rPr>
              <w:t>CEmONC</w:t>
            </w:r>
            <w:proofErr w:type="spellEnd"/>
          </w:p>
          <w:p w14:paraId="5C2A69BF" w14:textId="3D3903B4" w:rsidR="00CC602F" w:rsidRPr="00CC602F" w:rsidRDefault="00CC602F" w:rsidP="00CC602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</w:rPr>
            </w:pPr>
            <w:r w:rsidRPr="00CC602F">
              <w:rPr>
                <w:rFonts w:ascii="Arial" w:hAnsi="Arial" w:cs="Arial"/>
                <w:i/>
              </w:rPr>
              <w:t>Health facility level</w:t>
            </w:r>
            <w:r>
              <w:rPr>
                <w:rFonts w:ascii="Arial" w:hAnsi="Arial" w:cs="Arial"/>
                <w:i/>
              </w:rPr>
              <w:t xml:space="preserve"> -- Skilled birth attendants and supplies for vaginal births and </w:t>
            </w:r>
            <w:proofErr w:type="spellStart"/>
            <w:r>
              <w:rPr>
                <w:rFonts w:ascii="Arial" w:hAnsi="Arial" w:cs="Arial"/>
                <w:i/>
              </w:rPr>
              <w:t>BEmONC</w:t>
            </w:r>
            <w:proofErr w:type="spellEnd"/>
          </w:p>
          <w:p w14:paraId="789D30E5" w14:textId="60BF1976" w:rsidR="00CC602F" w:rsidRPr="00CC602F" w:rsidRDefault="00CC602F" w:rsidP="00CC602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</w:rPr>
            </w:pPr>
            <w:r w:rsidRPr="00CC602F">
              <w:rPr>
                <w:rFonts w:ascii="Arial" w:hAnsi="Arial" w:cs="Arial"/>
                <w:i/>
              </w:rPr>
              <w:t xml:space="preserve">Community level </w:t>
            </w:r>
            <w:r>
              <w:rPr>
                <w:rFonts w:ascii="Arial" w:hAnsi="Arial" w:cs="Arial"/>
                <w:i/>
              </w:rPr>
              <w:t xml:space="preserve">– Provision of information to the community about avail. of safe delivery and </w:t>
            </w:r>
            <w:proofErr w:type="spellStart"/>
            <w:r>
              <w:rPr>
                <w:rFonts w:ascii="Arial" w:hAnsi="Arial" w:cs="Arial"/>
                <w:i/>
              </w:rPr>
              <w:t>EmONC</w:t>
            </w:r>
            <w:proofErr w:type="spellEnd"/>
            <w:r>
              <w:rPr>
                <w:rFonts w:ascii="Arial" w:hAnsi="Arial" w:cs="Arial"/>
                <w:i/>
              </w:rPr>
              <w:t xml:space="preserve"> services. Clean delivery kits provided to visibly pregnant women and birth attendants to promote clean home deliveries when access to a health facility is not possible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94971" w14:textId="77777777" w:rsidR="00F62E50" w:rsidRPr="0092673A" w:rsidRDefault="00F62E50" w:rsidP="00D8589A">
            <w:pPr>
              <w:rPr>
                <w:rFonts w:ascii="Arial" w:hAnsi="Arial" w:cs="Arial"/>
              </w:rPr>
            </w:pPr>
          </w:p>
        </w:tc>
      </w:tr>
      <w:tr w:rsidR="00CC602F" w:rsidRPr="0092673A" w14:paraId="18DCA789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80F9D" w14:textId="6722688B" w:rsidR="00CC602F" w:rsidRPr="00CC602F" w:rsidRDefault="00CC602F" w:rsidP="00D858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Establish a 24 hours per day, 7 days per week referral system to facilitate transport from the community to the health center and hospital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BC2CB" w14:textId="77777777" w:rsidR="00CC602F" w:rsidRPr="0092673A" w:rsidRDefault="00CC602F" w:rsidP="00D8589A">
            <w:pPr>
              <w:rPr>
                <w:rFonts w:ascii="Arial" w:hAnsi="Arial" w:cs="Arial"/>
              </w:rPr>
            </w:pPr>
          </w:p>
        </w:tc>
      </w:tr>
      <w:tr w:rsidR="00CC602F" w:rsidRPr="0092673A" w14:paraId="65430FB5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A551" w14:textId="47E0507E" w:rsidR="00CC602F" w:rsidRDefault="00CC602F" w:rsidP="00D858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Ensure the availability of life-saving, post-abortion care in health centers and hospitals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5F349" w14:textId="77777777" w:rsidR="00CC602F" w:rsidRPr="0092673A" w:rsidRDefault="00CC602F" w:rsidP="00D8589A">
            <w:pPr>
              <w:rPr>
                <w:rFonts w:ascii="Arial" w:hAnsi="Arial" w:cs="Arial"/>
              </w:rPr>
            </w:pPr>
          </w:p>
        </w:tc>
      </w:tr>
      <w:tr w:rsidR="00CC602F" w:rsidRPr="0092673A" w14:paraId="0CAC614F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E3D97" w14:textId="2A2D7418" w:rsidR="00CC602F" w:rsidRDefault="00CC602F" w:rsidP="00D858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Ensure availability of supplies and commodities for clean delivery and immediate newborn care where access to a health facility is not possible or unreliable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D8A39" w14:textId="77777777" w:rsidR="00CC602F" w:rsidRPr="0092673A" w:rsidRDefault="00CC602F" w:rsidP="00D8589A">
            <w:pPr>
              <w:rPr>
                <w:rFonts w:ascii="Arial" w:hAnsi="Arial" w:cs="Arial"/>
              </w:rPr>
            </w:pPr>
          </w:p>
        </w:tc>
      </w:tr>
      <w:tr w:rsidR="00CC602F" w:rsidRPr="0092673A" w14:paraId="4AFE1BA5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DDDAB" w14:textId="4F12BF1E" w:rsidR="00CC602F" w:rsidRPr="007C6056" w:rsidRDefault="00CC602F" w:rsidP="00D8589A">
            <w:pPr>
              <w:rPr>
                <w:rFonts w:ascii="Arial" w:hAnsi="Arial" w:cs="Arial"/>
                <w:i/>
                <w:color w:val="4472C4" w:themeColor="accent1"/>
                <w:u w:val="single"/>
              </w:rPr>
            </w:pPr>
            <w:r w:rsidRPr="007C6056">
              <w:rPr>
                <w:rFonts w:ascii="Arial" w:hAnsi="Arial" w:cs="Arial"/>
                <w:i/>
                <w:color w:val="4472C4" w:themeColor="accent1"/>
                <w:u w:val="single"/>
              </w:rPr>
              <w:t>Objective 4 Promising Practices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DDD43" w14:textId="77777777" w:rsidR="00CC602F" w:rsidRPr="0092673A" w:rsidRDefault="00CC602F" w:rsidP="00D8589A">
            <w:pPr>
              <w:rPr>
                <w:rFonts w:ascii="Arial" w:hAnsi="Arial" w:cs="Arial"/>
              </w:rPr>
            </w:pPr>
          </w:p>
        </w:tc>
      </w:tr>
      <w:tr w:rsidR="00CC602F" w:rsidRPr="0092673A" w14:paraId="78CEB060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549D" w14:textId="4AC5599B" w:rsidR="00CC602F" w:rsidRPr="007C6056" w:rsidRDefault="00CC602F" w:rsidP="00D8589A">
            <w:pPr>
              <w:rPr>
                <w:rFonts w:ascii="Arial" w:hAnsi="Arial" w:cs="Arial"/>
                <w:i/>
                <w:color w:val="4472C4" w:themeColor="accent1"/>
                <w:u w:val="single"/>
              </w:rPr>
            </w:pPr>
            <w:r w:rsidRPr="007C6056">
              <w:rPr>
                <w:rFonts w:ascii="Arial" w:hAnsi="Arial" w:cs="Arial"/>
                <w:i/>
                <w:color w:val="4472C4" w:themeColor="accent1"/>
                <w:u w:val="single"/>
              </w:rPr>
              <w:t>Objective 4 Challenges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2FB48" w14:textId="77777777" w:rsidR="00CC602F" w:rsidRPr="0092673A" w:rsidRDefault="00CC602F" w:rsidP="00D8589A">
            <w:pPr>
              <w:rPr>
                <w:rFonts w:ascii="Arial" w:hAnsi="Arial" w:cs="Arial"/>
              </w:rPr>
            </w:pPr>
          </w:p>
        </w:tc>
      </w:tr>
      <w:tr w:rsidR="00CC602F" w:rsidRPr="0092673A" w14:paraId="54838494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A1931" w14:textId="4333E03A" w:rsidR="00CC602F" w:rsidRPr="007C6056" w:rsidRDefault="00CC602F" w:rsidP="00D8589A">
            <w:pPr>
              <w:rPr>
                <w:rFonts w:ascii="Arial" w:hAnsi="Arial" w:cs="Arial"/>
                <w:i/>
                <w:color w:val="4472C4" w:themeColor="accent1"/>
                <w:u w:val="single"/>
              </w:rPr>
            </w:pPr>
            <w:r w:rsidRPr="007C6056">
              <w:rPr>
                <w:rFonts w:ascii="Arial" w:hAnsi="Arial" w:cs="Arial"/>
                <w:i/>
                <w:color w:val="4472C4" w:themeColor="accent1"/>
                <w:u w:val="single"/>
              </w:rPr>
              <w:t xml:space="preserve">Objective </w:t>
            </w:r>
            <w:r w:rsidR="00310CD0" w:rsidRPr="007C6056">
              <w:rPr>
                <w:rFonts w:ascii="Arial" w:hAnsi="Arial" w:cs="Arial"/>
                <w:i/>
                <w:color w:val="4472C4" w:themeColor="accent1"/>
                <w:u w:val="single"/>
              </w:rPr>
              <w:t>4 Recommendations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524DA" w14:textId="77777777" w:rsidR="00CC602F" w:rsidRPr="0092673A" w:rsidRDefault="00CC602F" w:rsidP="00D8589A">
            <w:pPr>
              <w:rPr>
                <w:rFonts w:ascii="Arial" w:hAnsi="Arial" w:cs="Arial"/>
              </w:rPr>
            </w:pPr>
          </w:p>
        </w:tc>
      </w:tr>
      <w:tr w:rsidR="00D8589A" w:rsidRPr="0092673A" w14:paraId="088FC2A4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A45A" w14:textId="2C155C93" w:rsidR="00D8589A" w:rsidRPr="0092673A" w:rsidRDefault="00D8589A" w:rsidP="00D8589A">
            <w:pPr>
              <w:rPr>
                <w:rFonts w:ascii="Arial" w:hAnsi="Arial" w:cs="Arial"/>
                <w:b/>
              </w:rPr>
            </w:pPr>
            <w:r w:rsidRPr="0092673A">
              <w:rPr>
                <w:rFonts w:ascii="Arial" w:hAnsi="Arial" w:cs="Arial"/>
                <w:b/>
              </w:rPr>
              <w:t>Objective 5. Prevent unintended pregnancies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4E631" w14:textId="414F94A4" w:rsidR="00D8589A" w:rsidRPr="001026C8" w:rsidRDefault="00310CD0" w:rsidP="00D8589A">
            <w:pPr>
              <w:rPr>
                <w:rFonts w:ascii="Arial" w:hAnsi="Arial" w:cs="Arial"/>
                <w:b/>
              </w:rPr>
            </w:pPr>
            <w:r w:rsidRPr="001026C8">
              <w:rPr>
                <w:rFonts w:ascii="Arial" w:hAnsi="Arial" w:cs="Arial"/>
                <w:b/>
              </w:rPr>
              <w:t>Yes/No/Partially</w:t>
            </w:r>
          </w:p>
        </w:tc>
      </w:tr>
      <w:tr w:rsidR="00310CD0" w:rsidRPr="0092673A" w14:paraId="2897F0AD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665A" w14:textId="14E80D44" w:rsidR="00310CD0" w:rsidRPr="00310CD0" w:rsidRDefault="00310CD0" w:rsidP="00D8589A">
            <w:pPr>
              <w:rPr>
                <w:rFonts w:ascii="Arial" w:hAnsi="Arial" w:cs="Arial"/>
                <w:i/>
              </w:rPr>
            </w:pPr>
            <w:r w:rsidRPr="00310CD0">
              <w:rPr>
                <w:rFonts w:ascii="Arial" w:hAnsi="Arial" w:cs="Arial"/>
                <w:i/>
              </w:rPr>
              <w:t xml:space="preserve">Ensure availability of a range of long-acting reversible and short-acting contraceptive methods [including male and female (where already used) </w:t>
            </w:r>
            <w:r w:rsidRPr="00310CD0">
              <w:rPr>
                <w:rFonts w:ascii="Arial" w:hAnsi="Arial" w:cs="Arial"/>
                <w:i/>
              </w:rPr>
              <w:lastRenderedPageBreak/>
              <w:t>condoms and emergency contraception] at primary health care facilities to meet demand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6E54F" w14:textId="77777777" w:rsidR="00310CD0" w:rsidRPr="0092673A" w:rsidRDefault="00310CD0" w:rsidP="00D8589A">
            <w:pPr>
              <w:rPr>
                <w:rFonts w:ascii="Arial" w:hAnsi="Arial" w:cs="Arial"/>
              </w:rPr>
            </w:pPr>
          </w:p>
        </w:tc>
      </w:tr>
      <w:tr w:rsidR="00310CD0" w:rsidRPr="0092673A" w14:paraId="327991CC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787D" w14:textId="10107183" w:rsidR="00310CD0" w:rsidRPr="00310CD0" w:rsidRDefault="00310CD0" w:rsidP="00D858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Provide information, including IEC materials, and contraceptive counseling that emphasizes informed choice and consent, effectiveness, client privacy and confidentiality, equity, and non-discrimination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B6189" w14:textId="77777777" w:rsidR="00310CD0" w:rsidRPr="0092673A" w:rsidRDefault="00310CD0" w:rsidP="00D8589A">
            <w:pPr>
              <w:rPr>
                <w:rFonts w:ascii="Arial" w:hAnsi="Arial" w:cs="Arial"/>
              </w:rPr>
            </w:pPr>
          </w:p>
        </w:tc>
      </w:tr>
      <w:tr w:rsidR="00310CD0" w:rsidRPr="0092673A" w14:paraId="18A1EE22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76CE" w14:textId="1419CB90" w:rsidR="00310CD0" w:rsidRDefault="00310CD0" w:rsidP="00D858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Ensure the community is aware of the availability of contraceptives for women, adolescents, and men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EB2E5" w14:textId="77777777" w:rsidR="00310CD0" w:rsidRPr="0092673A" w:rsidRDefault="00310CD0" w:rsidP="00D8589A">
            <w:pPr>
              <w:rPr>
                <w:rFonts w:ascii="Arial" w:hAnsi="Arial" w:cs="Arial"/>
              </w:rPr>
            </w:pPr>
          </w:p>
        </w:tc>
      </w:tr>
      <w:tr w:rsidR="00310CD0" w:rsidRPr="0092673A" w14:paraId="2E431EBB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ABAF1" w14:textId="1DD178D3" w:rsidR="00310CD0" w:rsidRPr="007C6056" w:rsidRDefault="00310CD0" w:rsidP="00D8589A">
            <w:pPr>
              <w:rPr>
                <w:rFonts w:ascii="Arial" w:hAnsi="Arial" w:cs="Arial"/>
                <w:i/>
                <w:color w:val="4472C4" w:themeColor="accent1"/>
                <w:u w:val="single"/>
              </w:rPr>
            </w:pPr>
            <w:r w:rsidRPr="007C6056">
              <w:rPr>
                <w:rFonts w:ascii="Arial" w:hAnsi="Arial" w:cs="Arial"/>
                <w:i/>
                <w:color w:val="4472C4" w:themeColor="accent1"/>
                <w:u w:val="single"/>
              </w:rPr>
              <w:t>Objective 5 Promising Practices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780B" w14:textId="77777777" w:rsidR="00310CD0" w:rsidRPr="0092673A" w:rsidRDefault="00310CD0" w:rsidP="00D8589A">
            <w:pPr>
              <w:rPr>
                <w:rFonts w:ascii="Arial" w:hAnsi="Arial" w:cs="Arial"/>
              </w:rPr>
            </w:pPr>
          </w:p>
        </w:tc>
      </w:tr>
      <w:tr w:rsidR="00310CD0" w:rsidRPr="0092673A" w14:paraId="4E224BCA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13564" w14:textId="622506C4" w:rsidR="00310CD0" w:rsidRPr="007C6056" w:rsidRDefault="00310CD0" w:rsidP="00D8589A">
            <w:pPr>
              <w:rPr>
                <w:rFonts w:ascii="Arial" w:hAnsi="Arial" w:cs="Arial"/>
                <w:i/>
                <w:color w:val="4472C4" w:themeColor="accent1"/>
                <w:u w:val="single"/>
              </w:rPr>
            </w:pPr>
            <w:r w:rsidRPr="007C6056">
              <w:rPr>
                <w:rFonts w:ascii="Arial" w:hAnsi="Arial" w:cs="Arial"/>
                <w:i/>
                <w:color w:val="4472C4" w:themeColor="accent1"/>
                <w:u w:val="single"/>
              </w:rPr>
              <w:t>Objective 5 Challenges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26B7C" w14:textId="77777777" w:rsidR="00310CD0" w:rsidRPr="0092673A" w:rsidRDefault="00310CD0" w:rsidP="00D8589A">
            <w:pPr>
              <w:rPr>
                <w:rFonts w:ascii="Arial" w:hAnsi="Arial" w:cs="Arial"/>
              </w:rPr>
            </w:pPr>
          </w:p>
        </w:tc>
      </w:tr>
      <w:tr w:rsidR="00310CD0" w:rsidRPr="0092673A" w14:paraId="6E4D6663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B4CE7" w14:textId="695B88A9" w:rsidR="00310CD0" w:rsidRPr="007C6056" w:rsidRDefault="00310CD0" w:rsidP="00D8589A">
            <w:pPr>
              <w:rPr>
                <w:rFonts w:ascii="Arial" w:hAnsi="Arial" w:cs="Arial"/>
                <w:i/>
                <w:color w:val="4472C4" w:themeColor="accent1"/>
                <w:u w:val="single"/>
              </w:rPr>
            </w:pPr>
            <w:r w:rsidRPr="007C6056">
              <w:rPr>
                <w:rFonts w:ascii="Arial" w:hAnsi="Arial" w:cs="Arial"/>
                <w:i/>
                <w:color w:val="4472C4" w:themeColor="accent1"/>
                <w:u w:val="single"/>
              </w:rPr>
              <w:t>Objective 5 Recommendations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88B5" w14:textId="77777777" w:rsidR="00310CD0" w:rsidRPr="0092673A" w:rsidRDefault="00310CD0" w:rsidP="00D8589A">
            <w:pPr>
              <w:rPr>
                <w:rFonts w:ascii="Arial" w:hAnsi="Arial" w:cs="Arial"/>
              </w:rPr>
            </w:pPr>
          </w:p>
        </w:tc>
      </w:tr>
      <w:tr w:rsidR="00310CD0" w:rsidRPr="0092673A" w14:paraId="4B7F4F28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0889" w14:textId="613729F7" w:rsidR="00310CD0" w:rsidRPr="0092673A" w:rsidRDefault="00310CD0" w:rsidP="00D8589A">
            <w:pPr>
              <w:rPr>
                <w:rFonts w:ascii="Arial" w:hAnsi="Arial" w:cs="Arial"/>
                <w:b/>
              </w:rPr>
            </w:pPr>
            <w:r w:rsidRPr="0092673A">
              <w:rPr>
                <w:rFonts w:ascii="Arial" w:hAnsi="Arial" w:cs="Arial"/>
                <w:b/>
              </w:rPr>
              <w:t>Objective 6. Plan for comprehensive SRH Services as soon as possible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733EA" w14:textId="348FB532" w:rsidR="00310CD0" w:rsidRPr="001026C8" w:rsidRDefault="00310CD0" w:rsidP="00D8589A">
            <w:pPr>
              <w:rPr>
                <w:rFonts w:ascii="Arial" w:hAnsi="Arial" w:cs="Arial"/>
                <w:b/>
              </w:rPr>
            </w:pPr>
            <w:r w:rsidRPr="001026C8">
              <w:rPr>
                <w:rFonts w:ascii="Arial" w:hAnsi="Arial" w:cs="Arial"/>
                <w:b/>
              </w:rPr>
              <w:t>Yes/No/Partially</w:t>
            </w:r>
          </w:p>
        </w:tc>
      </w:tr>
      <w:tr w:rsidR="001026C8" w:rsidRPr="0092673A" w14:paraId="4976735C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C1DDA" w14:textId="30E5402A" w:rsidR="001026C8" w:rsidRDefault="001026C8" w:rsidP="00D8589A">
            <w:pPr>
              <w:rPr>
                <w:rFonts w:ascii="Arial" w:hAnsi="Arial" w:cs="Arial"/>
                <w:i/>
              </w:rPr>
            </w:pPr>
            <w:r w:rsidRPr="001026C8">
              <w:rPr>
                <w:rFonts w:ascii="Arial" w:hAnsi="Arial" w:cs="Arial"/>
                <w:i/>
              </w:rPr>
              <w:t>Work with health cluster/cluster partners to address the six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026C8">
              <w:rPr>
                <w:rFonts w:ascii="Arial" w:hAnsi="Arial" w:cs="Arial"/>
                <w:i/>
              </w:rPr>
              <w:t>health system building blocks</w:t>
            </w:r>
            <w:r>
              <w:rPr>
                <w:rFonts w:ascii="Arial" w:hAnsi="Arial" w:cs="Arial"/>
                <w:i/>
              </w:rPr>
              <w:t>:</w:t>
            </w:r>
          </w:p>
          <w:p w14:paraId="56ACE5FB" w14:textId="77777777" w:rsidR="001026C8" w:rsidRDefault="001026C8" w:rsidP="008A419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Service Delivery </w:t>
            </w:r>
          </w:p>
          <w:p w14:paraId="015CDF97" w14:textId="77777777" w:rsidR="001026C8" w:rsidRDefault="001026C8" w:rsidP="008A419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Health Workforce </w:t>
            </w:r>
          </w:p>
          <w:p w14:paraId="4CDE3EAA" w14:textId="53338573" w:rsidR="001026C8" w:rsidRDefault="001026C8" w:rsidP="008A419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Health Information System </w:t>
            </w:r>
          </w:p>
          <w:p w14:paraId="1C5FAC5B" w14:textId="77777777" w:rsidR="001026C8" w:rsidRDefault="001026C8" w:rsidP="008A419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Medical commodities </w:t>
            </w:r>
          </w:p>
          <w:p w14:paraId="6AA1D608" w14:textId="77777777" w:rsidR="001026C8" w:rsidRDefault="001026C8" w:rsidP="008A419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Financing </w:t>
            </w:r>
          </w:p>
          <w:p w14:paraId="4D191126" w14:textId="4796716C" w:rsidR="001026C8" w:rsidRPr="001026C8" w:rsidRDefault="001026C8" w:rsidP="008A419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Governance and Leadership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7E844" w14:textId="77777777" w:rsidR="001026C8" w:rsidRPr="0092673A" w:rsidRDefault="001026C8" w:rsidP="00D8589A">
            <w:pPr>
              <w:rPr>
                <w:rFonts w:ascii="Arial" w:hAnsi="Arial" w:cs="Arial"/>
              </w:rPr>
            </w:pPr>
          </w:p>
        </w:tc>
      </w:tr>
      <w:tr w:rsidR="4DA106F4" w14:paraId="659F69D3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F44FB" w14:textId="676C2B96" w:rsidR="4DA106F4" w:rsidRDefault="4DA106F4" w:rsidP="4DA106F4">
            <w:pPr>
              <w:spacing w:after="0"/>
              <w:rPr>
                <w:rFonts w:ascii="Arial" w:hAnsi="Arial" w:cs="Arial"/>
                <w:i/>
                <w:iCs/>
                <w:color w:val="538135" w:themeColor="accent6" w:themeShade="BF"/>
              </w:rPr>
            </w:pPr>
            <w:r w:rsidRPr="4DA106F4">
              <w:rPr>
                <w:rFonts w:ascii="Arial" w:hAnsi="Arial" w:cs="Arial"/>
                <w:i/>
                <w:iCs/>
                <w:color w:val="538135" w:themeColor="accent6" w:themeShade="BF"/>
              </w:rPr>
              <w:t>What are COs plans for supporting transition to recovery (moving from MISP to comprehensive SRH)? How will CARE’s nexus approach to SRHR inform future action?</w:t>
            </w:r>
          </w:p>
          <w:p w14:paraId="4A8F09AF" w14:textId="5916AD2B" w:rsidR="4DA106F4" w:rsidRDefault="4DA106F4" w:rsidP="4DA106F4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A5C40" w14:textId="7B238799" w:rsidR="4DA106F4" w:rsidRDefault="4DA106F4" w:rsidP="4DA106F4">
            <w:pPr>
              <w:rPr>
                <w:rFonts w:ascii="Arial" w:hAnsi="Arial" w:cs="Arial"/>
              </w:rPr>
            </w:pPr>
          </w:p>
        </w:tc>
      </w:tr>
      <w:tr w:rsidR="001026C8" w:rsidRPr="0092673A" w14:paraId="14A0A6BE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9A3FF" w14:textId="27F602B4" w:rsidR="001026C8" w:rsidRPr="007C6056" w:rsidRDefault="001026C8" w:rsidP="00D8589A">
            <w:pPr>
              <w:rPr>
                <w:rFonts w:ascii="Arial" w:hAnsi="Arial" w:cs="Arial"/>
                <w:color w:val="4472C4" w:themeColor="accent1"/>
                <w:u w:val="single"/>
              </w:rPr>
            </w:pPr>
            <w:r w:rsidRPr="007C6056">
              <w:rPr>
                <w:rFonts w:ascii="Arial" w:hAnsi="Arial" w:cs="Arial"/>
                <w:color w:val="4472C4" w:themeColor="accent1"/>
                <w:u w:val="single"/>
              </w:rPr>
              <w:t xml:space="preserve">Objective 6 Promising Practices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22DB7" w14:textId="77777777" w:rsidR="001026C8" w:rsidRPr="0092673A" w:rsidRDefault="001026C8" w:rsidP="00D8589A">
            <w:pPr>
              <w:rPr>
                <w:rFonts w:ascii="Arial" w:hAnsi="Arial" w:cs="Arial"/>
              </w:rPr>
            </w:pPr>
          </w:p>
        </w:tc>
      </w:tr>
      <w:tr w:rsidR="001026C8" w:rsidRPr="0092673A" w14:paraId="6A23A743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978F2" w14:textId="588FABD4" w:rsidR="001026C8" w:rsidRPr="007C6056" w:rsidRDefault="001026C8" w:rsidP="00D8589A">
            <w:pPr>
              <w:rPr>
                <w:rFonts w:ascii="Arial" w:hAnsi="Arial" w:cs="Arial"/>
                <w:color w:val="4472C4" w:themeColor="accent1"/>
                <w:u w:val="single"/>
              </w:rPr>
            </w:pPr>
            <w:r w:rsidRPr="007C6056">
              <w:rPr>
                <w:rFonts w:ascii="Arial" w:hAnsi="Arial" w:cs="Arial"/>
                <w:color w:val="4472C4" w:themeColor="accent1"/>
                <w:u w:val="single"/>
              </w:rPr>
              <w:t>Objective 6 Challenges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FC208" w14:textId="77777777" w:rsidR="001026C8" w:rsidRPr="0092673A" w:rsidRDefault="001026C8" w:rsidP="00D8589A">
            <w:pPr>
              <w:rPr>
                <w:rFonts w:ascii="Arial" w:hAnsi="Arial" w:cs="Arial"/>
              </w:rPr>
            </w:pPr>
          </w:p>
        </w:tc>
      </w:tr>
      <w:tr w:rsidR="001026C8" w:rsidRPr="0092673A" w14:paraId="013C99AC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DBD8D" w14:textId="67F29470" w:rsidR="001026C8" w:rsidRPr="007C6056" w:rsidRDefault="001026C8" w:rsidP="00D8589A">
            <w:pPr>
              <w:rPr>
                <w:rFonts w:ascii="Arial" w:hAnsi="Arial" w:cs="Arial"/>
                <w:color w:val="4472C4" w:themeColor="accent1"/>
                <w:u w:val="single"/>
              </w:rPr>
            </w:pPr>
            <w:r w:rsidRPr="007C6056">
              <w:rPr>
                <w:rFonts w:ascii="Arial" w:hAnsi="Arial" w:cs="Arial"/>
                <w:color w:val="4472C4" w:themeColor="accent1"/>
                <w:u w:val="single"/>
              </w:rPr>
              <w:t>Objective 6 Recommendations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7F2DB" w14:textId="77777777" w:rsidR="001026C8" w:rsidRPr="0092673A" w:rsidRDefault="001026C8" w:rsidP="00D8589A">
            <w:pPr>
              <w:rPr>
                <w:rFonts w:ascii="Arial" w:hAnsi="Arial" w:cs="Arial"/>
              </w:rPr>
            </w:pPr>
          </w:p>
        </w:tc>
      </w:tr>
      <w:tr w:rsidR="001026C8" w:rsidRPr="0092673A" w14:paraId="37C5D71C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55FC" w14:textId="7482CB64" w:rsidR="001026C8" w:rsidRPr="0013761D" w:rsidRDefault="001026C8" w:rsidP="00D8589A">
            <w:pPr>
              <w:rPr>
                <w:b/>
                <w:sz w:val="24"/>
                <w:szCs w:val="18"/>
              </w:rPr>
            </w:pPr>
            <w:r w:rsidRPr="000873D9">
              <w:rPr>
                <w:b/>
                <w:sz w:val="24"/>
                <w:szCs w:val="18"/>
              </w:rPr>
              <w:t>Other priority activity: Safe abortion care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F9F7A" w14:textId="2086C41C" w:rsidR="001026C8" w:rsidRPr="001026C8" w:rsidRDefault="001026C8" w:rsidP="00D8589A">
            <w:pPr>
              <w:rPr>
                <w:rFonts w:ascii="Arial" w:hAnsi="Arial" w:cs="Arial"/>
                <w:b/>
              </w:rPr>
            </w:pPr>
            <w:r w:rsidRPr="001026C8">
              <w:rPr>
                <w:rFonts w:ascii="Arial" w:hAnsi="Arial" w:cs="Arial"/>
                <w:b/>
              </w:rPr>
              <w:t>Yes/No/Partially</w:t>
            </w:r>
          </w:p>
        </w:tc>
      </w:tr>
      <w:tr w:rsidR="001026C8" w:rsidRPr="0092673A" w14:paraId="4565F57F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972F1" w14:textId="77777777" w:rsidR="001026C8" w:rsidRPr="000873D9" w:rsidRDefault="001026C8" w:rsidP="00D8589A">
            <w:pPr>
              <w:rPr>
                <w:b/>
                <w:sz w:val="24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93369" w14:textId="77777777" w:rsidR="001026C8" w:rsidRPr="0092673A" w:rsidRDefault="001026C8" w:rsidP="00D8589A">
            <w:pPr>
              <w:rPr>
                <w:rFonts w:ascii="Arial" w:hAnsi="Arial" w:cs="Arial"/>
              </w:rPr>
            </w:pPr>
          </w:p>
        </w:tc>
      </w:tr>
      <w:tr w:rsidR="007C6056" w:rsidRPr="0092673A" w14:paraId="3886F602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978E9" w14:textId="0E77BED6" w:rsidR="007C6056" w:rsidRPr="000873D9" w:rsidRDefault="007C6056" w:rsidP="007C6056">
            <w:pPr>
              <w:rPr>
                <w:b/>
                <w:sz w:val="24"/>
                <w:szCs w:val="18"/>
              </w:rPr>
            </w:pPr>
            <w:r w:rsidRPr="007C6056">
              <w:rPr>
                <w:rFonts w:ascii="Arial" w:hAnsi="Arial" w:cs="Arial"/>
                <w:color w:val="4472C4" w:themeColor="accent1"/>
                <w:u w:val="single"/>
              </w:rPr>
              <w:t xml:space="preserve">Objective 6 Promising Practices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6D1E" w14:textId="77777777" w:rsidR="007C6056" w:rsidRPr="0092673A" w:rsidRDefault="007C6056" w:rsidP="007C6056">
            <w:pPr>
              <w:rPr>
                <w:rFonts w:ascii="Arial" w:hAnsi="Arial" w:cs="Arial"/>
              </w:rPr>
            </w:pPr>
          </w:p>
        </w:tc>
      </w:tr>
      <w:tr w:rsidR="007C6056" w:rsidRPr="0092673A" w14:paraId="360E5284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077DA" w14:textId="22E0E273" w:rsidR="007C6056" w:rsidRPr="000873D9" w:rsidRDefault="007C6056" w:rsidP="007C6056">
            <w:pPr>
              <w:rPr>
                <w:b/>
                <w:sz w:val="24"/>
                <w:szCs w:val="18"/>
              </w:rPr>
            </w:pPr>
            <w:r w:rsidRPr="007C6056">
              <w:rPr>
                <w:rFonts w:ascii="Arial" w:hAnsi="Arial" w:cs="Arial"/>
                <w:color w:val="4472C4" w:themeColor="accent1"/>
                <w:u w:val="single"/>
              </w:rPr>
              <w:t>Objective 6 Challenges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2A91B" w14:textId="77777777" w:rsidR="007C6056" w:rsidRPr="0092673A" w:rsidRDefault="007C6056" w:rsidP="007C6056">
            <w:pPr>
              <w:rPr>
                <w:rFonts w:ascii="Arial" w:hAnsi="Arial" w:cs="Arial"/>
              </w:rPr>
            </w:pPr>
          </w:p>
        </w:tc>
      </w:tr>
      <w:tr w:rsidR="007C6056" w:rsidRPr="0092673A" w14:paraId="37E54622" w14:textId="77777777" w:rsidTr="4DA106F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06665" w14:textId="285C0CED" w:rsidR="007C6056" w:rsidRPr="000873D9" w:rsidRDefault="007C6056" w:rsidP="007C6056">
            <w:pPr>
              <w:rPr>
                <w:b/>
                <w:sz w:val="24"/>
                <w:szCs w:val="18"/>
              </w:rPr>
            </w:pPr>
            <w:r w:rsidRPr="007C6056">
              <w:rPr>
                <w:rFonts w:ascii="Arial" w:hAnsi="Arial" w:cs="Arial"/>
                <w:color w:val="4472C4" w:themeColor="accent1"/>
                <w:u w:val="single"/>
              </w:rPr>
              <w:t>Objective 6 Recommendations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525BA" w14:textId="77777777" w:rsidR="007C6056" w:rsidRPr="0092673A" w:rsidRDefault="007C6056" w:rsidP="007C6056">
            <w:pPr>
              <w:rPr>
                <w:rFonts w:ascii="Arial" w:hAnsi="Arial" w:cs="Arial"/>
              </w:rPr>
            </w:pPr>
          </w:p>
        </w:tc>
      </w:tr>
    </w:tbl>
    <w:p w14:paraId="3F596188" w14:textId="1E96FE14" w:rsidR="00327BF1" w:rsidRPr="0092673A" w:rsidRDefault="00327BF1" w:rsidP="0EF99F50">
      <w:pPr>
        <w:rPr>
          <w:rFonts w:ascii="Arial" w:hAnsi="Arial" w:cs="Arial"/>
        </w:rPr>
      </w:pPr>
    </w:p>
    <w:p w14:paraId="019297C2" w14:textId="5FADD1E1" w:rsidR="00D0535B" w:rsidRDefault="0EF99F50" w:rsidP="0EF99F50">
      <w:pPr>
        <w:pStyle w:val="ListParagraph"/>
        <w:ind w:left="0"/>
      </w:pPr>
      <w:r w:rsidRPr="0EF99F50">
        <w:rPr>
          <w:rFonts w:ascii="Arial" w:hAnsi="Arial" w:cs="Arial"/>
          <w:i/>
          <w:iCs/>
          <w:u w:val="single"/>
        </w:rPr>
        <w:lastRenderedPageBreak/>
        <w:t xml:space="preserve">Every question in these sections does not need to be answered, as long as the overall question was answered. </w:t>
      </w:r>
    </w:p>
    <w:p w14:paraId="4524E08B" w14:textId="30EAC259" w:rsidR="001D69FD" w:rsidRPr="004E51CB" w:rsidRDefault="3BEBCFEE" w:rsidP="3BEBCFEE">
      <w:pPr>
        <w:rPr>
          <w:rFonts w:ascii="Arial" w:hAnsi="Arial" w:cs="Arial"/>
          <w:b/>
          <w:bCs/>
        </w:rPr>
      </w:pPr>
      <w:r w:rsidRPr="3BEBCFEE">
        <w:rPr>
          <w:rFonts w:ascii="Arial" w:hAnsi="Arial" w:cs="Arial"/>
          <w:b/>
          <w:bCs/>
        </w:rPr>
        <w:t xml:space="preserve">        2.2 Program Quality </w:t>
      </w:r>
    </w:p>
    <w:p w14:paraId="32C7111C" w14:textId="44A5964E" w:rsidR="001D69FD" w:rsidRPr="0092673A" w:rsidRDefault="4DA106F4" w:rsidP="001D69F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4DA106F4">
        <w:rPr>
          <w:rFonts w:ascii="Arial" w:hAnsi="Arial" w:cs="Arial"/>
        </w:rPr>
        <w:t>What approaches did the emergency response adopt to support gender and diversity inclusion? (how was the response sensitive to age, disability, other minority groups)?</w:t>
      </w:r>
    </w:p>
    <w:p w14:paraId="54E7368F" w14:textId="24232667" w:rsidR="001D69FD" w:rsidRDefault="4DA106F4" w:rsidP="001D69F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4DA106F4">
        <w:rPr>
          <w:rFonts w:ascii="Arial" w:hAnsi="Arial" w:cs="Arial"/>
        </w:rPr>
        <w:t xml:space="preserve">What approaches did the emergency response adopt to ensure access to rights-based SRH services? (probe for privacy, confidentiality, services free from provider bias, affordability, </w:t>
      </w:r>
      <w:proofErr w:type="spellStart"/>
      <w:r w:rsidRPr="4DA106F4">
        <w:rPr>
          <w:rFonts w:ascii="Arial" w:hAnsi="Arial" w:cs="Arial"/>
        </w:rPr>
        <w:t>etc</w:t>
      </w:r>
      <w:proofErr w:type="spellEnd"/>
      <w:r w:rsidRPr="4DA106F4">
        <w:rPr>
          <w:rFonts w:ascii="Arial" w:hAnsi="Arial" w:cs="Arial"/>
        </w:rPr>
        <w:t>)</w:t>
      </w:r>
    </w:p>
    <w:p w14:paraId="026121F5" w14:textId="5DCCC21E" w:rsidR="00D8589A" w:rsidRPr="0092673A" w:rsidRDefault="4DA106F4" w:rsidP="001D69F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4DA106F4">
        <w:rPr>
          <w:rFonts w:ascii="Arial" w:hAnsi="Arial" w:cs="Arial"/>
        </w:rPr>
        <w:t xml:space="preserve">What approaches did the emergency response adopt to support integrated programming to meet holistic needs of affected population (probe for core sectors: GiE including GBV, WASH, FSL, Shelter, </w:t>
      </w:r>
      <w:proofErr w:type="spellStart"/>
      <w:r w:rsidRPr="4DA106F4">
        <w:rPr>
          <w:rFonts w:ascii="Arial" w:hAnsi="Arial" w:cs="Arial"/>
        </w:rPr>
        <w:t>etc</w:t>
      </w:r>
      <w:proofErr w:type="spellEnd"/>
      <w:r w:rsidRPr="4DA106F4">
        <w:rPr>
          <w:rFonts w:ascii="Arial" w:hAnsi="Arial" w:cs="Arial"/>
        </w:rPr>
        <w:t>)</w:t>
      </w:r>
    </w:p>
    <w:p w14:paraId="7DF166E4" w14:textId="12278E44" w:rsidR="00F417BF" w:rsidRPr="0092673A" w:rsidRDefault="4DA106F4" w:rsidP="4DA106F4">
      <w:pPr>
        <w:rPr>
          <w:sz w:val="24"/>
          <w:szCs w:val="24"/>
        </w:rPr>
      </w:pPr>
      <w:r w:rsidRPr="4DA106F4">
        <w:rPr>
          <w:b/>
          <w:bCs/>
          <w:sz w:val="24"/>
          <w:szCs w:val="24"/>
        </w:rPr>
        <w:t xml:space="preserve">    </w:t>
      </w:r>
    </w:p>
    <w:p w14:paraId="40949036" w14:textId="74B058D2" w:rsidR="001C3B4D" w:rsidRPr="004E51CB" w:rsidRDefault="4DA106F4" w:rsidP="4DA106F4">
      <w:pPr>
        <w:rPr>
          <w:rFonts w:ascii="Arial" w:hAnsi="Arial" w:cs="Arial"/>
          <w:b/>
          <w:bCs/>
        </w:rPr>
      </w:pPr>
      <w:r w:rsidRPr="4DA106F4">
        <w:rPr>
          <w:b/>
          <w:bCs/>
          <w:sz w:val="24"/>
          <w:szCs w:val="24"/>
        </w:rPr>
        <w:t xml:space="preserve">       </w:t>
      </w:r>
      <w:r w:rsidRPr="4DA106F4">
        <w:rPr>
          <w:rFonts w:ascii="Arial" w:hAnsi="Arial" w:cs="Arial"/>
          <w:b/>
          <w:bCs/>
        </w:rPr>
        <w:t xml:space="preserve">2.3 Logistics </w:t>
      </w:r>
    </w:p>
    <w:p w14:paraId="799ADA66" w14:textId="0C97A6A4" w:rsidR="00A44E99" w:rsidRPr="00327BF1" w:rsidRDefault="00A44E99" w:rsidP="004E51C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327BF1">
        <w:rPr>
          <w:rFonts w:ascii="Arial" w:hAnsi="Arial" w:cs="Arial"/>
        </w:rPr>
        <w:t>Did your response include an SRHR supplies component? Why or why not?</w:t>
      </w:r>
    </w:p>
    <w:p w14:paraId="0F7BF47C" w14:textId="77777777" w:rsidR="00A44E99" w:rsidRPr="003F6238" w:rsidRDefault="00A44E99" w:rsidP="00A44E99">
      <w:pPr>
        <w:pStyle w:val="ListParagraph"/>
        <w:ind w:left="1440"/>
        <w:rPr>
          <w:rFonts w:ascii="Arial" w:hAnsi="Arial" w:cs="Arial"/>
        </w:rPr>
      </w:pPr>
      <w:r w:rsidRPr="003F6238">
        <w:rPr>
          <w:rFonts w:ascii="Arial" w:hAnsi="Arial" w:cs="Arial"/>
        </w:rPr>
        <w:t xml:space="preserve">If so, </w:t>
      </w:r>
    </w:p>
    <w:p w14:paraId="23875BC5" w14:textId="3D1AE49A" w:rsidR="00A44E99" w:rsidRPr="003F6238" w:rsidRDefault="00A44E99" w:rsidP="00327BF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3F6238">
        <w:rPr>
          <w:rFonts w:ascii="Arial" w:hAnsi="Arial" w:cs="Arial"/>
        </w:rPr>
        <w:t xml:space="preserve">did they arrive on time (probe: when did they arrive)? </w:t>
      </w:r>
    </w:p>
    <w:p w14:paraId="79721FCF" w14:textId="10700A2C" w:rsidR="00A44E99" w:rsidRPr="003F6238" w:rsidRDefault="00A44E99" w:rsidP="00327BF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3F6238">
        <w:rPr>
          <w:rFonts w:ascii="Arial" w:hAnsi="Arial" w:cs="Arial"/>
        </w:rPr>
        <w:t>What was the supply chain process? (Probe: how were orders calculated, were supplies provided by UNFPA or elsewhere, where were they stored and how were they distributed; share sample of plan)?</w:t>
      </w:r>
    </w:p>
    <w:p w14:paraId="7D953D06" w14:textId="45503F43" w:rsidR="00A44E99" w:rsidRPr="003F6238" w:rsidRDefault="00A44E99" w:rsidP="00327BF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3F6238">
        <w:rPr>
          <w:rFonts w:ascii="Arial" w:hAnsi="Arial" w:cs="Arial"/>
        </w:rPr>
        <w:t>Logistics Human Resource Capacity? (probe: did you CO have a logistics focal point who supported this process, did the global team provider support)?</w:t>
      </w:r>
    </w:p>
    <w:p w14:paraId="3297D5F1" w14:textId="797607FC" w:rsidR="00A44E99" w:rsidRPr="003F6238" w:rsidRDefault="00A44E99" w:rsidP="00327BF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3F6238">
        <w:rPr>
          <w:rFonts w:ascii="Arial" w:hAnsi="Arial" w:cs="Arial"/>
        </w:rPr>
        <w:t>Do you currently have buffer stock or unused supplies?</w:t>
      </w:r>
    </w:p>
    <w:p w14:paraId="7BF42153" w14:textId="2421FE35" w:rsidR="005027BE" w:rsidRPr="00327BF1" w:rsidRDefault="005027BE" w:rsidP="004E51C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327BF1">
        <w:rPr>
          <w:rFonts w:ascii="Arial" w:hAnsi="Arial" w:cs="Arial"/>
        </w:rPr>
        <w:t xml:space="preserve">Did your CO have prior experience </w:t>
      </w:r>
      <w:r w:rsidR="00FD6FDC" w:rsidRPr="00327BF1">
        <w:rPr>
          <w:rFonts w:ascii="Arial" w:hAnsi="Arial" w:cs="Arial"/>
        </w:rPr>
        <w:t>importing and/or procuring SRHR supplies?</w:t>
      </w:r>
    </w:p>
    <w:p w14:paraId="01913B9E" w14:textId="66407A0C" w:rsidR="005E48D9" w:rsidRPr="001026C8" w:rsidRDefault="00DC4DAE" w:rsidP="00327BF1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1026C8">
        <w:rPr>
          <w:rFonts w:ascii="Arial" w:hAnsi="Arial" w:cs="Arial"/>
        </w:rPr>
        <w:t>Did your</w:t>
      </w:r>
      <w:r w:rsidR="005E48D9" w:rsidRPr="001026C8">
        <w:rPr>
          <w:rFonts w:ascii="Arial" w:hAnsi="Arial" w:cs="Arial"/>
        </w:rPr>
        <w:t xml:space="preserve"> CO have </w:t>
      </w:r>
      <w:r w:rsidR="00A44E99" w:rsidRPr="001026C8">
        <w:rPr>
          <w:rFonts w:ascii="Arial" w:hAnsi="Arial" w:cs="Arial"/>
        </w:rPr>
        <w:t xml:space="preserve">prior </w:t>
      </w:r>
      <w:r w:rsidR="005E48D9" w:rsidRPr="001026C8">
        <w:rPr>
          <w:rFonts w:ascii="Arial" w:hAnsi="Arial" w:cs="Arial"/>
        </w:rPr>
        <w:t>authorization to import SRHR supplies, equipment, and medicines</w:t>
      </w:r>
      <w:r w:rsidRPr="001026C8">
        <w:rPr>
          <w:rFonts w:ascii="Arial" w:hAnsi="Arial" w:cs="Arial"/>
        </w:rPr>
        <w:t xml:space="preserve"> before this response</w:t>
      </w:r>
      <w:r w:rsidR="005E48D9" w:rsidRPr="001026C8">
        <w:rPr>
          <w:rFonts w:ascii="Arial" w:hAnsi="Arial" w:cs="Arial"/>
        </w:rPr>
        <w:t>?</w:t>
      </w:r>
    </w:p>
    <w:p w14:paraId="3BA8C4A3" w14:textId="5D6D586D" w:rsidR="005E48D9" w:rsidRDefault="00DC4DAE" w:rsidP="00327BF1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92673A">
        <w:rPr>
          <w:rFonts w:ascii="Arial" w:hAnsi="Arial" w:cs="Arial"/>
        </w:rPr>
        <w:t>Did your CO</w:t>
      </w:r>
      <w:r w:rsidR="005E48D9" w:rsidRPr="0092673A">
        <w:rPr>
          <w:rFonts w:ascii="Arial" w:hAnsi="Arial" w:cs="Arial"/>
        </w:rPr>
        <w:t xml:space="preserve"> include vendors for SRHR supplies, equipment and medicines (including RH kits) on its Approved Vendor List</w:t>
      </w:r>
      <w:r w:rsidRPr="0092673A">
        <w:rPr>
          <w:rFonts w:ascii="Arial" w:hAnsi="Arial" w:cs="Arial"/>
        </w:rPr>
        <w:t xml:space="preserve"> before this response</w:t>
      </w:r>
      <w:r w:rsidR="005E48D9" w:rsidRPr="0092673A">
        <w:rPr>
          <w:rFonts w:ascii="Arial" w:hAnsi="Arial" w:cs="Arial"/>
        </w:rPr>
        <w:t>?</w:t>
      </w:r>
    </w:p>
    <w:p w14:paraId="46E6458F" w14:textId="7E85DADE" w:rsidR="00F417BF" w:rsidRDefault="00F417BF" w:rsidP="00327BF1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What lessons did you learn from this experience? (Probe: what worked well, what did not work well, what could have been done differently)</w:t>
      </w:r>
    </w:p>
    <w:p w14:paraId="702A6278" w14:textId="64BDAA00" w:rsidR="00FD701F" w:rsidRDefault="4DA106F4" w:rsidP="4DA106F4">
      <w:pPr>
        <w:rPr>
          <w:b/>
          <w:bCs/>
          <w:sz w:val="24"/>
          <w:szCs w:val="24"/>
        </w:rPr>
      </w:pPr>
      <w:r w:rsidRPr="4DA106F4">
        <w:rPr>
          <w:rFonts w:ascii="Arial" w:hAnsi="Arial" w:cs="Arial"/>
          <w:b/>
          <w:bCs/>
        </w:rPr>
        <w:t xml:space="preserve">       2.4 Assessment &amp; M&amp;E</w:t>
      </w:r>
      <w:r w:rsidRPr="4DA106F4">
        <w:rPr>
          <w:b/>
          <w:bCs/>
          <w:sz w:val="24"/>
          <w:szCs w:val="24"/>
        </w:rPr>
        <w:t xml:space="preserve"> </w:t>
      </w:r>
    </w:p>
    <w:p w14:paraId="403FA0AE" w14:textId="77777777" w:rsidR="007C6056" w:rsidRPr="00FB01D6" w:rsidRDefault="007C6056" w:rsidP="007C6056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FB01D6">
        <w:rPr>
          <w:rFonts w:ascii="Arial" w:hAnsi="Arial" w:cs="Arial"/>
        </w:rPr>
        <w:t>Was SRHR included in a broader integrated RAPID needs assessment?</w:t>
      </w:r>
    </w:p>
    <w:p w14:paraId="71704731" w14:textId="03AF2E2D" w:rsidR="00FD701F" w:rsidRPr="00FB01D6" w:rsidRDefault="007C6056" w:rsidP="007C6056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FB01D6">
        <w:rPr>
          <w:rFonts w:ascii="Arial" w:hAnsi="Arial" w:cs="Arial"/>
        </w:rPr>
        <w:t>Did CARE conduct an SRHR needs assessment within the first month of the emergency? If so, who was this shared with and when?</w:t>
      </w:r>
    </w:p>
    <w:p w14:paraId="7C883B49" w14:textId="2A71BAF1" w:rsidR="007C6056" w:rsidRPr="00FB01D6" w:rsidRDefault="007C6056" w:rsidP="007C6056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FB01D6">
        <w:rPr>
          <w:rFonts w:ascii="Arial" w:hAnsi="Arial" w:cs="Arial"/>
        </w:rPr>
        <w:t>What key indicators did the project utilize to monitor SRHR programming? Why were these indicators selected/ set?</w:t>
      </w:r>
    </w:p>
    <w:p w14:paraId="36639ABF" w14:textId="681D88B7" w:rsidR="007C6056" w:rsidRPr="00FB01D6" w:rsidRDefault="007C6056" w:rsidP="007C6056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FB01D6">
        <w:rPr>
          <w:rFonts w:ascii="Arial" w:hAnsi="Arial" w:cs="Arial"/>
        </w:rPr>
        <w:t>Did the project meet the targets? Please explain, if not.</w:t>
      </w:r>
    </w:p>
    <w:p w14:paraId="5012B42A" w14:textId="4E6A8651" w:rsidR="007C6056" w:rsidRDefault="00FB01D6" w:rsidP="007C6056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FB01D6">
        <w:rPr>
          <w:rFonts w:ascii="Arial" w:hAnsi="Arial" w:cs="Arial"/>
        </w:rPr>
        <w:t>How was the data utilized for action to inform program decisions?</w:t>
      </w:r>
    </w:p>
    <w:p w14:paraId="67AFB767" w14:textId="3D4670E8" w:rsidR="00FB01D6" w:rsidRPr="00FB01D6" w:rsidRDefault="00FB01D6" w:rsidP="007C6056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Are there other data points that should have been included?</w:t>
      </w:r>
    </w:p>
    <w:p w14:paraId="546723BA" w14:textId="09E00E49" w:rsidR="001D69FD" w:rsidRDefault="4DA106F4" w:rsidP="4DA106F4">
      <w:pPr>
        <w:rPr>
          <w:rFonts w:ascii="Arial" w:hAnsi="Arial" w:cs="Arial"/>
          <w:b/>
          <w:bCs/>
        </w:rPr>
      </w:pPr>
      <w:r w:rsidRPr="4DA106F4">
        <w:rPr>
          <w:rFonts w:ascii="Arial" w:hAnsi="Arial" w:cs="Arial"/>
          <w:b/>
          <w:bCs/>
          <w:sz w:val="20"/>
          <w:szCs w:val="20"/>
        </w:rPr>
        <w:t xml:space="preserve">   </w:t>
      </w:r>
      <w:r w:rsidRPr="4DA106F4">
        <w:rPr>
          <w:b/>
          <w:bCs/>
          <w:sz w:val="24"/>
          <w:szCs w:val="24"/>
        </w:rPr>
        <w:t xml:space="preserve">   </w:t>
      </w:r>
      <w:r w:rsidRPr="4DA106F4">
        <w:rPr>
          <w:rFonts w:ascii="Arial" w:hAnsi="Arial" w:cs="Arial"/>
          <w:b/>
          <w:bCs/>
        </w:rPr>
        <w:t>2.5 Is there anything else that you would like to highlight about this response?</w:t>
      </w:r>
    </w:p>
    <w:p w14:paraId="5B438544" w14:textId="3CB92CE9" w:rsidR="00DF39A4" w:rsidRPr="00DF39A4" w:rsidRDefault="004A5C3F" w:rsidP="00DF39A4">
      <w:pPr>
        <w:pStyle w:val="NoSpacing"/>
        <w:rPr>
          <w:rFonts w:ascii="Arial" w:hAnsi="Arial" w:cs="Arial"/>
          <w:color w:val="ED7D31" w:themeColor="accent2"/>
          <w:sz w:val="28"/>
        </w:rPr>
      </w:pPr>
      <w:r w:rsidRPr="00327BF1">
        <w:rPr>
          <w:rFonts w:ascii="Arial" w:hAnsi="Arial" w:cs="Arial"/>
          <w:color w:val="ED7D31" w:themeColor="accent2"/>
          <w:sz w:val="28"/>
        </w:rPr>
        <w:lastRenderedPageBreak/>
        <w:t>3</w:t>
      </w:r>
      <w:r w:rsidR="003F6238" w:rsidRPr="00327BF1">
        <w:rPr>
          <w:rFonts w:ascii="Arial" w:hAnsi="Arial" w:cs="Arial"/>
          <w:color w:val="ED7D31" w:themeColor="accent2"/>
          <w:sz w:val="28"/>
        </w:rPr>
        <w:t xml:space="preserve">: Recommendations &amp; Transition to </w:t>
      </w:r>
      <w:r w:rsidR="00B03BA6">
        <w:rPr>
          <w:rFonts w:ascii="Arial" w:hAnsi="Arial" w:cs="Arial"/>
          <w:color w:val="ED7D31" w:themeColor="accent2"/>
          <w:sz w:val="28"/>
        </w:rPr>
        <w:t xml:space="preserve">Recovery </w:t>
      </w:r>
    </w:p>
    <w:p w14:paraId="1477E5E1" w14:textId="6A76BF4F" w:rsidR="003F6238" w:rsidRDefault="4DA106F4" w:rsidP="4DA106F4">
      <w:pPr>
        <w:ind w:left="360"/>
        <w:rPr>
          <w:rFonts w:ascii="Arial" w:hAnsi="Arial" w:cs="Arial"/>
        </w:rPr>
      </w:pPr>
      <w:r w:rsidRPr="4DA106F4">
        <w:rPr>
          <w:rFonts w:ascii="Arial" w:hAnsi="Arial" w:cs="Arial"/>
        </w:rPr>
        <w:t xml:space="preserve">Based on responses above, identify </w:t>
      </w:r>
      <w:r w:rsidRPr="4DA106F4">
        <w:rPr>
          <w:rFonts w:ascii="Arial" w:hAnsi="Arial" w:cs="Arial"/>
          <w:i/>
          <w:iCs/>
          <w:u w:val="single"/>
        </w:rPr>
        <w:t>key actions for inclusion in emergency preparedness and planning</w:t>
      </w:r>
      <w:r w:rsidRPr="4DA106F4">
        <w:rPr>
          <w:rFonts w:ascii="Arial" w:hAnsi="Arial" w:cs="Arial"/>
        </w:rPr>
        <w:t xml:space="preserve"> going forward in the areas of: </w:t>
      </w:r>
    </w:p>
    <w:p w14:paraId="1A8E71D6" w14:textId="77777777" w:rsidR="003F6238" w:rsidRDefault="4DA106F4" w:rsidP="003F6238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4DA106F4">
        <w:rPr>
          <w:rFonts w:ascii="Arial" w:hAnsi="Arial" w:cs="Arial"/>
        </w:rPr>
        <w:t xml:space="preserve">Human resources and training </w:t>
      </w:r>
    </w:p>
    <w:p w14:paraId="649214C8" w14:textId="77777777" w:rsidR="003F6238" w:rsidRDefault="4DA106F4" w:rsidP="003F6238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4DA106F4">
        <w:rPr>
          <w:rFonts w:ascii="Arial" w:hAnsi="Arial" w:cs="Arial"/>
        </w:rPr>
        <w:t xml:space="preserve">Partnerships and collaboration </w:t>
      </w:r>
    </w:p>
    <w:p w14:paraId="3FC07B68" w14:textId="77777777" w:rsidR="003F6238" w:rsidRDefault="4DA106F4" w:rsidP="003F6238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4DA106F4">
        <w:rPr>
          <w:rFonts w:ascii="Arial" w:hAnsi="Arial" w:cs="Arial"/>
        </w:rPr>
        <w:t>Capacity of host country Ministry of Health, National Disaster Management</w:t>
      </w:r>
    </w:p>
    <w:p w14:paraId="2FD73B89" w14:textId="77777777" w:rsidR="003F6238" w:rsidRDefault="4DA106F4" w:rsidP="003F6238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4DA106F4">
        <w:rPr>
          <w:rFonts w:ascii="Arial" w:hAnsi="Arial" w:cs="Arial"/>
        </w:rPr>
        <w:t xml:space="preserve">Logistics </w:t>
      </w:r>
    </w:p>
    <w:p w14:paraId="34C60F66" w14:textId="4E3C05C8" w:rsidR="00F417BF" w:rsidRPr="00DF39A4" w:rsidRDefault="4DA106F4" w:rsidP="00DF39A4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4DA106F4">
        <w:rPr>
          <w:rFonts w:ascii="Arial" w:hAnsi="Arial" w:cs="Arial"/>
        </w:rPr>
        <w:t xml:space="preserve">TA Support  </w:t>
      </w:r>
    </w:p>
    <w:p w14:paraId="715398CA" w14:textId="2996E30C" w:rsidR="00F75782" w:rsidRDefault="4DA106F4" w:rsidP="4DA106F4">
      <w:pPr>
        <w:pStyle w:val="NoSpacing"/>
        <w:ind w:left="-360"/>
        <w:rPr>
          <w:rFonts w:ascii="Arial" w:hAnsi="Arial" w:cs="Arial"/>
          <w:color w:val="ED7D31" w:themeColor="accent2"/>
          <w:sz w:val="28"/>
          <w:szCs w:val="28"/>
        </w:rPr>
      </w:pPr>
      <w:r w:rsidRPr="4DA106F4">
        <w:rPr>
          <w:rFonts w:ascii="Arial" w:hAnsi="Arial" w:cs="Arial"/>
          <w:color w:val="ED7D31" w:themeColor="accent2"/>
          <w:sz w:val="28"/>
          <w:szCs w:val="28"/>
        </w:rPr>
        <w:t xml:space="preserve">     4: Do you have any feedback on how to improve this tool?</w:t>
      </w:r>
    </w:p>
    <w:sectPr w:rsidR="00F75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643"/>
    <w:multiLevelType w:val="hybridMultilevel"/>
    <w:tmpl w:val="098CB8D8"/>
    <w:lvl w:ilvl="0" w:tplc="E026B4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5A06"/>
    <w:multiLevelType w:val="multilevel"/>
    <w:tmpl w:val="D8247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85141D2"/>
    <w:multiLevelType w:val="multilevel"/>
    <w:tmpl w:val="49720E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410A7F"/>
    <w:multiLevelType w:val="hybridMultilevel"/>
    <w:tmpl w:val="B242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33CA"/>
    <w:multiLevelType w:val="hybridMultilevel"/>
    <w:tmpl w:val="1DACB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0F1D9F"/>
    <w:multiLevelType w:val="multilevel"/>
    <w:tmpl w:val="39BAF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2BB470A"/>
    <w:multiLevelType w:val="multilevel"/>
    <w:tmpl w:val="14C65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3DC15F0"/>
    <w:multiLevelType w:val="hybridMultilevel"/>
    <w:tmpl w:val="B1B850FE"/>
    <w:lvl w:ilvl="0" w:tplc="AAA65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326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29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CC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05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D44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C3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CB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181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A0114"/>
    <w:multiLevelType w:val="hybridMultilevel"/>
    <w:tmpl w:val="6F0219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26D0C"/>
    <w:multiLevelType w:val="hybridMultilevel"/>
    <w:tmpl w:val="7D34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032E2"/>
    <w:multiLevelType w:val="hybridMultilevel"/>
    <w:tmpl w:val="4A9E09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F6139"/>
    <w:multiLevelType w:val="hybridMultilevel"/>
    <w:tmpl w:val="0D480842"/>
    <w:lvl w:ilvl="0" w:tplc="0932F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A48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00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8C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CD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6C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8A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E3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86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306108D"/>
    <w:multiLevelType w:val="hybridMultilevel"/>
    <w:tmpl w:val="D1684338"/>
    <w:lvl w:ilvl="0" w:tplc="3CA026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F23165"/>
    <w:multiLevelType w:val="hybridMultilevel"/>
    <w:tmpl w:val="A5147566"/>
    <w:lvl w:ilvl="0" w:tplc="6F7C3F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06DA3"/>
    <w:multiLevelType w:val="hybridMultilevel"/>
    <w:tmpl w:val="DAFA439E"/>
    <w:lvl w:ilvl="0" w:tplc="DC2ABB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07E7F"/>
    <w:multiLevelType w:val="hybridMultilevel"/>
    <w:tmpl w:val="23A6226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1CD4B2E"/>
    <w:multiLevelType w:val="hybridMultilevel"/>
    <w:tmpl w:val="D1AC6FE2"/>
    <w:lvl w:ilvl="0" w:tplc="31723C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B1608"/>
    <w:multiLevelType w:val="hybridMultilevel"/>
    <w:tmpl w:val="A71A1C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2B507E3"/>
    <w:multiLevelType w:val="hybridMultilevel"/>
    <w:tmpl w:val="7BD05BBC"/>
    <w:lvl w:ilvl="0" w:tplc="8BD4E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615C61"/>
    <w:multiLevelType w:val="hybridMultilevel"/>
    <w:tmpl w:val="56C8C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52FC6"/>
    <w:multiLevelType w:val="hybridMultilevel"/>
    <w:tmpl w:val="D7B0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B06A8"/>
    <w:multiLevelType w:val="multilevel"/>
    <w:tmpl w:val="201E9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C10780B"/>
    <w:multiLevelType w:val="hybridMultilevel"/>
    <w:tmpl w:val="B7607200"/>
    <w:lvl w:ilvl="0" w:tplc="B1AA4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6F0558"/>
    <w:multiLevelType w:val="hybridMultilevel"/>
    <w:tmpl w:val="DD00E22A"/>
    <w:lvl w:ilvl="0" w:tplc="22DCD1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C069F"/>
    <w:multiLevelType w:val="multilevel"/>
    <w:tmpl w:val="47669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20"/>
  </w:num>
  <w:num w:numId="4">
    <w:abstractNumId w:val="13"/>
  </w:num>
  <w:num w:numId="5">
    <w:abstractNumId w:val="17"/>
  </w:num>
  <w:num w:numId="6">
    <w:abstractNumId w:val="9"/>
  </w:num>
  <w:num w:numId="7">
    <w:abstractNumId w:val="16"/>
  </w:num>
  <w:num w:numId="8">
    <w:abstractNumId w:val="4"/>
  </w:num>
  <w:num w:numId="9">
    <w:abstractNumId w:val="11"/>
  </w:num>
  <w:num w:numId="10">
    <w:abstractNumId w:val="3"/>
  </w:num>
  <w:num w:numId="11">
    <w:abstractNumId w:val="14"/>
  </w:num>
  <w:num w:numId="12">
    <w:abstractNumId w:val="8"/>
  </w:num>
  <w:num w:numId="13">
    <w:abstractNumId w:val="1"/>
  </w:num>
  <w:num w:numId="14">
    <w:abstractNumId w:val="19"/>
  </w:num>
  <w:num w:numId="15">
    <w:abstractNumId w:val="22"/>
  </w:num>
  <w:num w:numId="16">
    <w:abstractNumId w:val="2"/>
  </w:num>
  <w:num w:numId="17">
    <w:abstractNumId w:val="18"/>
  </w:num>
  <w:num w:numId="18">
    <w:abstractNumId w:val="0"/>
  </w:num>
  <w:num w:numId="19">
    <w:abstractNumId w:val="10"/>
  </w:num>
  <w:num w:numId="20">
    <w:abstractNumId w:val="5"/>
  </w:num>
  <w:num w:numId="21">
    <w:abstractNumId w:val="24"/>
  </w:num>
  <w:num w:numId="22">
    <w:abstractNumId w:val="6"/>
  </w:num>
  <w:num w:numId="23">
    <w:abstractNumId w:val="21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CFF"/>
    <w:rsid w:val="00040362"/>
    <w:rsid w:val="00041BD0"/>
    <w:rsid w:val="001026C8"/>
    <w:rsid w:val="00103995"/>
    <w:rsid w:val="0013761D"/>
    <w:rsid w:val="001823B6"/>
    <w:rsid w:val="001A3597"/>
    <w:rsid w:val="001C3B4D"/>
    <w:rsid w:val="001C6DBA"/>
    <w:rsid w:val="001D69FD"/>
    <w:rsid w:val="0026560E"/>
    <w:rsid w:val="0027325D"/>
    <w:rsid w:val="00283B83"/>
    <w:rsid w:val="00293198"/>
    <w:rsid w:val="002C3B30"/>
    <w:rsid w:val="002D16DB"/>
    <w:rsid w:val="002E273F"/>
    <w:rsid w:val="00303C98"/>
    <w:rsid w:val="00310CD0"/>
    <w:rsid w:val="00327BF1"/>
    <w:rsid w:val="003C0755"/>
    <w:rsid w:val="003C5605"/>
    <w:rsid w:val="003F6238"/>
    <w:rsid w:val="00403BD9"/>
    <w:rsid w:val="004069C1"/>
    <w:rsid w:val="004A5C3F"/>
    <w:rsid w:val="004C7CFF"/>
    <w:rsid w:val="004E51CB"/>
    <w:rsid w:val="005027BE"/>
    <w:rsid w:val="00535F54"/>
    <w:rsid w:val="00561025"/>
    <w:rsid w:val="00567B3D"/>
    <w:rsid w:val="0059536C"/>
    <w:rsid w:val="005D0D22"/>
    <w:rsid w:val="005E48D9"/>
    <w:rsid w:val="005F3959"/>
    <w:rsid w:val="0060264C"/>
    <w:rsid w:val="00640FD3"/>
    <w:rsid w:val="0071300F"/>
    <w:rsid w:val="0074443D"/>
    <w:rsid w:val="00773B63"/>
    <w:rsid w:val="00780C01"/>
    <w:rsid w:val="007C6056"/>
    <w:rsid w:val="0081729A"/>
    <w:rsid w:val="008869B0"/>
    <w:rsid w:val="008954F6"/>
    <w:rsid w:val="008A419F"/>
    <w:rsid w:val="008B0A32"/>
    <w:rsid w:val="0092673A"/>
    <w:rsid w:val="009417F1"/>
    <w:rsid w:val="00943902"/>
    <w:rsid w:val="00953FF7"/>
    <w:rsid w:val="009768C9"/>
    <w:rsid w:val="009A3A76"/>
    <w:rsid w:val="009D556B"/>
    <w:rsid w:val="00A04B24"/>
    <w:rsid w:val="00A44E99"/>
    <w:rsid w:val="00A73FCD"/>
    <w:rsid w:val="00AC42DF"/>
    <w:rsid w:val="00AE6209"/>
    <w:rsid w:val="00AF1D68"/>
    <w:rsid w:val="00B03BA6"/>
    <w:rsid w:val="00B47C94"/>
    <w:rsid w:val="00BC2B99"/>
    <w:rsid w:val="00BD1E3C"/>
    <w:rsid w:val="00C1145E"/>
    <w:rsid w:val="00C47193"/>
    <w:rsid w:val="00C65969"/>
    <w:rsid w:val="00CC602F"/>
    <w:rsid w:val="00CE7DEA"/>
    <w:rsid w:val="00D0535B"/>
    <w:rsid w:val="00D53E3B"/>
    <w:rsid w:val="00D8589A"/>
    <w:rsid w:val="00DC4DAE"/>
    <w:rsid w:val="00DF39A4"/>
    <w:rsid w:val="00E833A0"/>
    <w:rsid w:val="00EE400D"/>
    <w:rsid w:val="00F05452"/>
    <w:rsid w:val="00F11B43"/>
    <w:rsid w:val="00F20B6B"/>
    <w:rsid w:val="00F26C32"/>
    <w:rsid w:val="00F3028B"/>
    <w:rsid w:val="00F36878"/>
    <w:rsid w:val="00F417BF"/>
    <w:rsid w:val="00F50208"/>
    <w:rsid w:val="00F62E50"/>
    <w:rsid w:val="00F67AC7"/>
    <w:rsid w:val="00F75782"/>
    <w:rsid w:val="00FB01D6"/>
    <w:rsid w:val="00FD6FDC"/>
    <w:rsid w:val="00FD701F"/>
    <w:rsid w:val="0EF99F50"/>
    <w:rsid w:val="3BEBCFEE"/>
    <w:rsid w:val="3D561A0D"/>
    <w:rsid w:val="3F5EE036"/>
    <w:rsid w:val="47DE3D98"/>
    <w:rsid w:val="4DA1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C3EA"/>
  <w15:chartTrackingRefBased/>
  <w15:docId w15:val="{5F2E7E5E-5DED-4748-B249-900A5BA0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C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2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7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7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7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7D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7DE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D16DB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283B83"/>
  </w:style>
  <w:style w:type="character" w:customStyle="1" w:styleId="eop">
    <w:name w:val="eop"/>
    <w:basedOn w:val="DefaultParagraphFont"/>
    <w:rsid w:val="00283B83"/>
  </w:style>
  <w:style w:type="character" w:customStyle="1" w:styleId="contextualspellingandgrammarerror">
    <w:name w:val="contextualspellingandgrammarerror"/>
    <w:basedOn w:val="DefaultParagraphFont"/>
    <w:rsid w:val="0092673A"/>
  </w:style>
  <w:style w:type="table" w:styleId="TableGrid">
    <w:name w:val="Table Grid"/>
    <w:basedOn w:val="TableNormal"/>
    <w:uiPriority w:val="59"/>
    <w:rsid w:val="004A5C3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F6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594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269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081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544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647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642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520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028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43D67A0C02C4DA1D6229E81A7448F" ma:contentTypeVersion="12" ma:contentTypeDescription="Create a new document." ma:contentTypeScope="" ma:versionID="13a334185f7a152d4607d3ad9cdd629b">
  <xsd:schema xmlns:xsd="http://www.w3.org/2001/XMLSchema" xmlns:xs="http://www.w3.org/2001/XMLSchema" xmlns:p="http://schemas.microsoft.com/office/2006/metadata/properties" xmlns:ns2="03ad8fae-a9e1-4a2a-b4a5-b9d3cc76cb1d" xmlns:ns3="978f34b7-74e2-4cd0-83c7-be61133f63d3" targetNamespace="http://schemas.microsoft.com/office/2006/metadata/properties" ma:root="true" ma:fieldsID="d55e803815a03f3251f08076395c5feb" ns2:_="" ns3:_="">
    <xsd:import namespace="03ad8fae-a9e1-4a2a-b4a5-b9d3cc76cb1d"/>
    <xsd:import namespace="978f34b7-74e2-4cd0-83c7-be61133f63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d8fae-a9e1-4a2a-b4a5-b9d3cc76c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f34b7-74e2-4cd0-83c7-be61133f63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A198C-D1B8-4850-B183-4A3DB7A59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9F23C-1B7C-4147-B36B-36A444D09D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96F3B8-5BB6-47DA-8B83-B60A46D5B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d8fae-a9e1-4a2a-b4a5-b9d3cc76cb1d"/>
    <ds:schemaRef ds:uri="978f34b7-74e2-4cd0-83c7-be61133f6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A4C1ED-AADA-40A3-8CB6-9660331D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McDaniel</dc:creator>
  <cp:keywords/>
  <dc:description/>
  <cp:lastModifiedBy>Abbey McDaniel</cp:lastModifiedBy>
  <cp:revision>2</cp:revision>
  <dcterms:created xsi:type="dcterms:W3CDTF">2020-09-10T18:00:00Z</dcterms:created>
  <dcterms:modified xsi:type="dcterms:W3CDTF">2020-09-10T18:00:00Z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0x01010098943D67A0C02C4DA1D6229E81A7448F</vt:lpwstr>
  </property>
  <property fmtid="{D5CDD505-2E9C-101B-9397-08002B2CF9AE}" pid="3" name="Order">
    <vt:r8>37600</vt:r8>
  </property>
</Properties>
</file>