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1E" w:rsidRDefault="00D96E74">
      <w:pPr>
        <w:pStyle w:val="Textoindependiente"/>
        <w:rPr>
          <w:rFonts w:ascii="Times New Roman"/>
        </w:rPr>
      </w:pPr>
      <w:r w:rsidRPr="00DC242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7216" behindDoc="0" locked="0" layoutInCell="1" allowOverlap="1" wp14:anchorId="40C8719B" wp14:editId="64BB3095">
            <wp:simplePos x="0" y="0"/>
            <wp:positionH relativeFrom="page">
              <wp:posOffset>83127</wp:posOffset>
            </wp:positionH>
            <wp:positionV relativeFrom="paragraph">
              <wp:posOffset>-723125</wp:posOffset>
            </wp:positionV>
            <wp:extent cx="7560564" cy="18404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84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rPr>
          <w:rFonts w:ascii="Times New Roman"/>
        </w:rPr>
      </w:pPr>
    </w:p>
    <w:p w:rsidR="004B1C1E" w:rsidRDefault="004B1C1E">
      <w:pPr>
        <w:pStyle w:val="Textoindependiente"/>
        <w:spacing w:before="5"/>
        <w:rPr>
          <w:rFonts w:ascii="Times New Roman"/>
          <w:sz w:val="17"/>
        </w:rPr>
      </w:pPr>
    </w:p>
    <w:p w:rsidR="004B1C1E" w:rsidRPr="00DC242C" w:rsidRDefault="00A470E6">
      <w:pPr>
        <w:pStyle w:val="Ttulo1"/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EC7C30"/>
          <w:sz w:val="22"/>
          <w:szCs w:val="22"/>
        </w:rPr>
        <w:t>Nota de O</w:t>
      </w:r>
      <w:r w:rsidR="00813A1C" w:rsidRPr="00DC242C">
        <w:rPr>
          <w:rFonts w:ascii="Arial" w:hAnsi="Arial" w:cs="Arial"/>
          <w:color w:val="EC7C30"/>
          <w:sz w:val="22"/>
          <w:szCs w:val="22"/>
        </w:rPr>
        <w:t>rientación</w:t>
      </w:r>
      <w:r>
        <w:rPr>
          <w:rFonts w:ascii="Arial" w:hAnsi="Arial" w:cs="Arial"/>
          <w:color w:val="EC7C30"/>
          <w:sz w:val="22"/>
          <w:szCs w:val="22"/>
        </w:rPr>
        <w:t xml:space="preserve"> sobre Género en E</w:t>
      </w:r>
      <w:r w:rsidR="00E47816" w:rsidRPr="00DC242C">
        <w:rPr>
          <w:rFonts w:ascii="Arial" w:hAnsi="Arial" w:cs="Arial"/>
          <w:color w:val="EC7C30"/>
          <w:sz w:val="22"/>
          <w:szCs w:val="22"/>
        </w:rPr>
        <w:t>mergencias</w:t>
      </w:r>
    </w:p>
    <w:p w:rsidR="004B1C1E" w:rsidRPr="00DC242C" w:rsidRDefault="00E47816">
      <w:pPr>
        <w:spacing w:before="2"/>
        <w:ind w:left="852"/>
        <w:rPr>
          <w:rFonts w:ascii="Arial" w:hAnsi="Arial" w:cs="Arial"/>
          <w:b/>
        </w:rPr>
      </w:pPr>
      <w:r w:rsidRPr="00DC242C">
        <w:rPr>
          <w:rFonts w:ascii="Arial" w:hAnsi="Arial" w:cs="Arial"/>
          <w:b/>
          <w:color w:val="EC7C30"/>
        </w:rPr>
        <w:t>Prepar</w:t>
      </w:r>
      <w:r w:rsidR="00DB1F6D">
        <w:rPr>
          <w:rFonts w:ascii="Arial" w:hAnsi="Arial" w:cs="Arial"/>
          <w:b/>
          <w:color w:val="EC7C30"/>
        </w:rPr>
        <w:t>ación del Resumen de Género</w:t>
      </w:r>
    </w:p>
    <w:p w:rsidR="00DB1F6D" w:rsidRDefault="00DB1F6D">
      <w:pPr>
        <w:spacing w:before="146"/>
        <w:ind w:left="852"/>
        <w:jc w:val="both"/>
        <w:rPr>
          <w:rFonts w:ascii="Arial" w:hAnsi="Arial" w:cs="Arial"/>
          <w:i/>
        </w:rPr>
        <w:sectPr w:rsidR="00DB1F6D" w:rsidSect="00D96E74">
          <w:footerReference w:type="default" r:id="rId8"/>
          <w:pgSz w:w="11910" w:h="16840"/>
          <w:pgMar w:top="1340" w:right="3" w:bottom="1200" w:left="0" w:header="0" w:footer="1014" w:gutter="0"/>
          <w:cols w:space="720"/>
        </w:sectPr>
      </w:pPr>
    </w:p>
    <w:p w:rsidR="00EA7996" w:rsidRDefault="00813A1C" w:rsidP="00485FF2">
      <w:pPr>
        <w:spacing w:before="146"/>
        <w:ind w:right="144"/>
        <w:jc w:val="both"/>
        <w:rPr>
          <w:rFonts w:ascii="Arial" w:hAnsi="Arial" w:cs="Arial"/>
          <w:i/>
        </w:rPr>
        <w:sectPr w:rsidR="00EA7996" w:rsidSect="00DB1F6D">
          <w:type w:val="continuous"/>
          <w:pgSz w:w="11910" w:h="16840"/>
          <w:pgMar w:top="1340" w:right="0" w:bottom="1200" w:left="0" w:header="0" w:footer="1014" w:gutter="0"/>
          <w:cols w:space="720"/>
        </w:sectPr>
      </w:pPr>
      <w:r w:rsidRPr="00EA7996">
        <w:rPr>
          <w:rFonts w:ascii="Arial" w:hAnsi="Arial" w:cs="Arial"/>
          <w:i/>
        </w:rPr>
        <w:lastRenderedPageBreak/>
        <w:t>En esta nota de orientación</w:t>
      </w:r>
      <w:r w:rsidR="00DB1F6D" w:rsidRPr="00EA7996">
        <w:rPr>
          <w:rFonts w:ascii="Arial" w:hAnsi="Arial" w:cs="Arial"/>
          <w:i/>
        </w:rPr>
        <w:t>, se proporciona información sobre cómo preparar el Análisis Rápido de Género, es decir</w:t>
      </w:r>
      <w:r w:rsidR="00EA7996">
        <w:rPr>
          <w:rFonts w:ascii="Arial" w:hAnsi="Arial" w:cs="Arial"/>
          <w:i/>
        </w:rPr>
        <w:t xml:space="preserve">, el </w:t>
      </w:r>
      <w:r w:rsidR="00DB1F6D" w:rsidRPr="00EA7996">
        <w:rPr>
          <w:rFonts w:ascii="Arial" w:hAnsi="Arial" w:cs="Arial"/>
          <w:i/>
        </w:rPr>
        <w:t xml:space="preserve"> </w:t>
      </w:r>
      <w:r w:rsidR="00D96E74" w:rsidRPr="00EA7996">
        <w:rPr>
          <w:rFonts w:ascii="Arial" w:hAnsi="Arial" w:cs="Arial"/>
          <w:i/>
          <w:u w:val="single"/>
        </w:rPr>
        <w:t>Re</w:t>
      </w:r>
      <w:r w:rsidR="00DB1F6D" w:rsidRPr="00EA7996">
        <w:rPr>
          <w:rFonts w:ascii="Arial" w:hAnsi="Arial" w:cs="Arial"/>
          <w:i/>
          <w:u w:val="single"/>
        </w:rPr>
        <w:t>sumen de Género</w:t>
      </w:r>
      <w:r w:rsidR="00DB1F6D" w:rsidRPr="00EA7996">
        <w:rPr>
          <w:rFonts w:ascii="Arial" w:hAnsi="Arial" w:cs="Arial"/>
          <w:i/>
        </w:rPr>
        <w:t>. La audiencia objetivo de esta nota de orientación son los líderes del equipo de evaluación y los asesores de género. El Equipo de Género del Grupo de Emergencias de CARE asumirá la responsabilidad de preparar los análisis rápidos de género para respuestas a emergencias, que van desde el Tipo 4 a un Tipo 2 de gran escala</w:t>
      </w:r>
      <w:r w:rsidR="00DB1F6D" w:rsidRPr="00DC242C">
        <w:rPr>
          <w:rFonts w:ascii="Arial" w:hAnsi="Arial" w:cs="Arial"/>
          <w:i/>
        </w:rPr>
        <w:t>.</w:t>
      </w:r>
    </w:p>
    <w:p w:rsidR="00DB1F6D" w:rsidRDefault="00DB1F6D" w:rsidP="00DB1F6D">
      <w:pPr>
        <w:spacing w:before="146"/>
        <w:jc w:val="both"/>
        <w:rPr>
          <w:rFonts w:ascii="Arial" w:hAnsi="Arial" w:cs="Arial"/>
          <w:i/>
          <w:u w:val="single"/>
        </w:rPr>
        <w:sectPr w:rsidR="00DB1F6D" w:rsidSect="00E13376">
          <w:type w:val="continuous"/>
          <w:pgSz w:w="11910" w:h="16840"/>
          <w:pgMar w:top="1340" w:right="0" w:bottom="1200" w:left="0" w:header="0" w:footer="1014" w:gutter="0"/>
          <w:cols w:num="2" w:space="720"/>
        </w:sectPr>
      </w:pPr>
    </w:p>
    <w:p w:rsidR="004B1C1E" w:rsidRPr="00DC242C" w:rsidRDefault="004B1C1E">
      <w:pPr>
        <w:pStyle w:val="Textoindependiente"/>
        <w:spacing w:before="1"/>
        <w:rPr>
          <w:rFonts w:ascii="Arial" w:hAnsi="Arial" w:cs="Arial"/>
          <w:i/>
          <w:sz w:val="22"/>
          <w:szCs w:val="22"/>
        </w:rPr>
      </w:pPr>
    </w:p>
    <w:p w:rsidR="004B1C1E" w:rsidRPr="00DC242C" w:rsidRDefault="00590E6B">
      <w:pPr>
        <w:pStyle w:val="Ttulo1"/>
        <w:spacing w:line="241" w:lineRule="exact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¿Qué es un "Resumen de G</w:t>
      </w:r>
      <w:r w:rsidR="00E47816" w:rsidRPr="00DC242C">
        <w:rPr>
          <w:rFonts w:ascii="Arial" w:hAnsi="Arial" w:cs="Arial"/>
          <w:sz w:val="22"/>
          <w:szCs w:val="22"/>
        </w:rPr>
        <w:t>énero"?</w:t>
      </w:r>
    </w:p>
    <w:p w:rsidR="004B1C1E" w:rsidRPr="00DC242C" w:rsidRDefault="00E47816">
      <w:pPr>
        <w:pStyle w:val="Textoindependiente"/>
        <w:ind w:left="852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Los</w:t>
      </w:r>
      <w:r w:rsidR="00590E6B" w:rsidRPr="00DC242C">
        <w:rPr>
          <w:rFonts w:ascii="Arial" w:hAnsi="Arial" w:cs="Arial"/>
          <w:sz w:val="22"/>
          <w:szCs w:val="22"/>
        </w:rPr>
        <w:t xml:space="preserve"> Resúmenes de G</w:t>
      </w:r>
      <w:r w:rsidRPr="00DC242C">
        <w:rPr>
          <w:rFonts w:ascii="Arial" w:hAnsi="Arial" w:cs="Arial"/>
          <w:sz w:val="22"/>
          <w:szCs w:val="22"/>
        </w:rPr>
        <w:t>énero</w:t>
      </w:r>
      <w:r w:rsidR="00590E6B" w:rsidRPr="00DC242C">
        <w:rPr>
          <w:rFonts w:ascii="Arial" w:hAnsi="Arial" w:cs="Arial"/>
          <w:sz w:val="22"/>
          <w:szCs w:val="22"/>
        </w:rPr>
        <w:t xml:space="preserve"> (GiB)</w:t>
      </w:r>
      <w:r w:rsidR="00EA7996">
        <w:rPr>
          <w:rFonts w:ascii="Arial" w:hAnsi="Arial" w:cs="Arial"/>
          <w:sz w:val="22"/>
          <w:szCs w:val="22"/>
        </w:rPr>
        <w:t>,</w:t>
      </w:r>
      <w:r w:rsidR="00590E6B" w:rsidRPr="00DC242C">
        <w:rPr>
          <w:rFonts w:ascii="Arial" w:hAnsi="Arial" w:cs="Arial"/>
          <w:sz w:val="22"/>
          <w:szCs w:val="22"/>
        </w:rPr>
        <w:t xml:space="preserve"> son una parte esencial para producir los Análisis Rápidos de G</w:t>
      </w:r>
      <w:r w:rsidRPr="00DC242C">
        <w:rPr>
          <w:rFonts w:ascii="Arial" w:hAnsi="Arial" w:cs="Arial"/>
          <w:sz w:val="22"/>
          <w:szCs w:val="22"/>
        </w:rPr>
        <w:t>énero de CARE (RGA)</w:t>
      </w:r>
      <w:r w:rsidR="00590E6B" w:rsidRPr="00DC242C">
        <w:rPr>
          <w:rFonts w:ascii="Arial" w:hAnsi="Arial" w:cs="Arial"/>
          <w:sz w:val="22"/>
          <w:szCs w:val="22"/>
        </w:rPr>
        <w:t>, en una e</w:t>
      </w:r>
      <w:r w:rsidR="00EA7996">
        <w:rPr>
          <w:rFonts w:ascii="Arial" w:hAnsi="Arial" w:cs="Arial"/>
          <w:sz w:val="22"/>
          <w:szCs w:val="22"/>
        </w:rPr>
        <w:t xml:space="preserve">mergencia. Un Resumen de Género reúne </w:t>
      </w:r>
      <w:r w:rsidRPr="00DC242C">
        <w:rPr>
          <w:rFonts w:ascii="Arial" w:hAnsi="Arial" w:cs="Arial"/>
          <w:sz w:val="22"/>
          <w:szCs w:val="22"/>
        </w:rPr>
        <w:t xml:space="preserve"> y analiza </w:t>
      </w:r>
      <w:r w:rsidR="00590E6B" w:rsidRPr="00DC242C">
        <w:rPr>
          <w:rFonts w:ascii="Arial" w:hAnsi="Arial" w:cs="Arial"/>
          <w:sz w:val="22"/>
          <w:szCs w:val="22"/>
        </w:rPr>
        <w:t xml:space="preserve">la </w:t>
      </w:r>
      <w:r w:rsidRPr="00DC242C">
        <w:rPr>
          <w:rFonts w:ascii="Arial" w:hAnsi="Arial" w:cs="Arial"/>
          <w:sz w:val="22"/>
          <w:szCs w:val="22"/>
        </w:rPr>
        <w:t>i</w:t>
      </w:r>
      <w:r w:rsidR="00590E6B" w:rsidRPr="00DC242C">
        <w:rPr>
          <w:rFonts w:ascii="Arial" w:hAnsi="Arial" w:cs="Arial"/>
          <w:sz w:val="22"/>
          <w:szCs w:val="22"/>
        </w:rPr>
        <w:t>nformación secundaria de género existente y la presenta</w:t>
      </w:r>
      <w:r w:rsidRPr="00DC242C">
        <w:rPr>
          <w:rFonts w:ascii="Arial" w:hAnsi="Arial" w:cs="Arial"/>
          <w:sz w:val="22"/>
          <w:szCs w:val="22"/>
        </w:rPr>
        <w:t xml:space="preserve"> en un documento de dos páginas, que contiene</w:t>
      </w:r>
      <w:r w:rsidR="00590E6B" w:rsidRPr="00DC242C">
        <w:rPr>
          <w:rFonts w:ascii="Arial" w:hAnsi="Arial" w:cs="Arial"/>
          <w:sz w:val="22"/>
          <w:szCs w:val="22"/>
        </w:rPr>
        <w:t xml:space="preserve"> estadísticas desglosadas por</w:t>
      </w:r>
      <w:r w:rsidR="001709B9">
        <w:rPr>
          <w:rFonts w:ascii="Arial" w:hAnsi="Arial" w:cs="Arial"/>
          <w:sz w:val="22"/>
          <w:szCs w:val="22"/>
        </w:rPr>
        <w:t xml:space="preserve"> edad y sexo, junto a</w:t>
      </w:r>
      <w:r w:rsidRPr="00DC242C">
        <w:rPr>
          <w:rFonts w:ascii="Arial" w:hAnsi="Arial" w:cs="Arial"/>
          <w:sz w:val="22"/>
          <w:szCs w:val="22"/>
        </w:rPr>
        <w:t>l análisis de género previo a la crisis. Genera enlaces c</w:t>
      </w:r>
      <w:r w:rsidR="00590E6B" w:rsidRPr="00DC242C">
        <w:rPr>
          <w:rFonts w:ascii="Arial" w:hAnsi="Arial" w:cs="Arial"/>
          <w:sz w:val="22"/>
          <w:szCs w:val="22"/>
        </w:rPr>
        <w:t>on los documentos referenciales clave</w:t>
      </w:r>
      <w:r w:rsidRPr="00DC242C">
        <w:rPr>
          <w:rFonts w:ascii="Arial" w:hAnsi="Arial" w:cs="Arial"/>
          <w:sz w:val="22"/>
          <w:szCs w:val="22"/>
        </w:rPr>
        <w:t xml:space="preserve"> y con los programas actuales de CARE.</w:t>
      </w:r>
    </w:p>
    <w:p w:rsidR="00AF4164" w:rsidRPr="00DC242C" w:rsidRDefault="00E47816" w:rsidP="00D96E74">
      <w:pPr>
        <w:pStyle w:val="Textoindependiente"/>
        <w:spacing w:before="193"/>
        <w:ind w:left="852" w:right="-17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b/>
          <w:sz w:val="22"/>
          <w:szCs w:val="22"/>
        </w:rPr>
        <w:t>¿Cuál es el obje</w:t>
      </w:r>
      <w:r w:rsidR="008031AF" w:rsidRPr="00DC242C">
        <w:rPr>
          <w:rFonts w:ascii="Arial" w:hAnsi="Arial" w:cs="Arial"/>
          <w:b/>
          <w:sz w:val="22"/>
          <w:szCs w:val="22"/>
        </w:rPr>
        <w:t>tivo de un "Resumen de Género</w:t>
      </w:r>
      <w:r w:rsidRPr="00DC242C">
        <w:rPr>
          <w:rFonts w:ascii="Arial" w:hAnsi="Arial" w:cs="Arial"/>
          <w:b/>
          <w:sz w:val="22"/>
          <w:szCs w:val="22"/>
        </w:rPr>
        <w:t xml:space="preserve">"? </w:t>
      </w:r>
      <w:r w:rsidR="008031AF" w:rsidRPr="00DC242C">
        <w:rPr>
          <w:rFonts w:ascii="Arial" w:hAnsi="Arial" w:cs="Arial"/>
          <w:sz w:val="22"/>
          <w:szCs w:val="22"/>
        </w:rPr>
        <w:t xml:space="preserve">Los Resúmenes de Género </w:t>
      </w:r>
      <w:r w:rsidRPr="00DC242C">
        <w:rPr>
          <w:rFonts w:ascii="Arial" w:hAnsi="Arial" w:cs="Arial"/>
          <w:sz w:val="22"/>
          <w:szCs w:val="22"/>
        </w:rPr>
        <w:t>son esenci</w:t>
      </w:r>
      <w:r w:rsidR="008031AF" w:rsidRPr="00DC242C">
        <w:rPr>
          <w:rFonts w:ascii="Arial" w:hAnsi="Arial" w:cs="Arial"/>
          <w:sz w:val="22"/>
          <w:szCs w:val="22"/>
        </w:rPr>
        <w:t xml:space="preserve">ales para preparar un Análisis Rápido de Género (RGA); muestra el estado de los roles y relaciones de </w:t>
      </w:r>
      <w:r w:rsidRPr="00DC242C">
        <w:rPr>
          <w:rFonts w:ascii="Arial" w:hAnsi="Arial" w:cs="Arial"/>
          <w:sz w:val="22"/>
          <w:szCs w:val="22"/>
        </w:rPr>
        <w:t xml:space="preserve">género de un país antes de </w:t>
      </w:r>
      <w:r w:rsidR="00EA7996">
        <w:rPr>
          <w:rFonts w:ascii="Arial" w:hAnsi="Arial" w:cs="Arial"/>
          <w:sz w:val="22"/>
          <w:szCs w:val="22"/>
        </w:rPr>
        <w:t xml:space="preserve">una crisis, lo cual </w:t>
      </w:r>
      <w:r w:rsidRPr="00DC242C">
        <w:rPr>
          <w:rFonts w:ascii="Arial" w:hAnsi="Arial" w:cs="Arial"/>
          <w:sz w:val="22"/>
          <w:szCs w:val="22"/>
        </w:rPr>
        <w:t xml:space="preserve"> ayuda a comprend</w:t>
      </w:r>
      <w:r w:rsidR="00EA7996">
        <w:rPr>
          <w:rFonts w:ascii="Arial" w:hAnsi="Arial" w:cs="Arial"/>
          <w:sz w:val="22"/>
          <w:szCs w:val="22"/>
        </w:rPr>
        <w:t xml:space="preserve">er cómo la crisis condujo a los </w:t>
      </w:r>
      <w:r w:rsidRPr="00DC242C">
        <w:rPr>
          <w:rFonts w:ascii="Arial" w:hAnsi="Arial" w:cs="Arial"/>
          <w:sz w:val="22"/>
          <w:szCs w:val="22"/>
        </w:rPr>
        <w:t>cambios</w:t>
      </w:r>
      <w:r w:rsidR="00EA7996">
        <w:rPr>
          <w:rFonts w:ascii="Arial" w:hAnsi="Arial" w:cs="Arial"/>
          <w:sz w:val="22"/>
          <w:szCs w:val="22"/>
        </w:rPr>
        <w:t>,  y puede ayudar a detectar</w:t>
      </w:r>
      <w:r w:rsidRPr="00DC242C">
        <w:rPr>
          <w:rFonts w:ascii="Arial" w:hAnsi="Arial" w:cs="Arial"/>
          <w:sz w:val="22"/>
          <w:szCs w:val="22"/>
        </w:rPr>
        <w:t xml:space="preserve"> los</w:t>
      </w:r>
      <w:r w:rsidR="008031AF" w:rsidRPr="00DC242C">
        <w:rPr>
          <w:rFonts w:ascii="Arial" w:hAnsi="Arial" w:cs="Arial"/>
          <w:sz w:val="22"/>
          <w:szCs w:val="22"/>
        </w:rPr>
        <w:t xml:space="preserve"> problemas de género que probableme</w:t>
      </w:r>
      <w:r w:rsidR="00D96E74">
        <w:rPr>
          <w:rFonts w:ascii="Arial" w:hAnsi="Arial" w:cs="Arial"/>
          <w:sz w:val="22"/>
          <w:szCs w:val="22"/>
        </w:rPr>
        <w:t>nte su</w:t>
      </w:r>
      <w:r w:rsidR="003257D7">
        <w:rPr>
          <w:rFonts w:ascii="Arial" w:hAnsi="Arial" w:cs="Arial"/>
          <w:sz w:val="22"/>
          <w:szCs w:val="22"/>
        </w:rPr>
        <w:t xml:space="preserve">rjan. También puede apoyar a </w:t>
      </w:r>
      <w:r w:rsidR="00EA7996">
        <w:rPr>
          <w:rFonts w:ascii="Arial" w:hAnsi="Arial" w:cs="Arial"/>
          <w:sz w:val="22"/>
          <w:szCs w:val="22"/>
        </w:rPr>
        <w:t xml:space="preserve">efectuar </w:t>
      </w:r>
      <w:r w:rsidR="003257D7" w:rsidRPr="00DC242C">
        <w:rPr>
          <w:rFonts w:ascii="Arial" w:hAnsi="Arial" w:cs="Arial"/>
          <w:sz w:val="22"/>
          <w:szCs w:val="22"/>
        </w:rPr>
        <w:t>recomendaciones</w:t>
      </w:r>
      <w:r w:rsidR="00F9592E">
        <w:rPr>
          <w:rFonts w:ascii="Arial" w:hAnsi="Arial" w:cs="Arial"/>
          <w:sz w:val="22"/>
          <w:szCs w:val="22"/>
        </w:rPr>
        <w:t xml:space="preserve"> programáticas</w:t>
      </w:r>
      <w:r w:rsidR="003257D7" w:rsidRPr="00DC242C">
        <w:rPr>
          <w:rFonts w:ascii="Arial" w:hAnsi="Arial" w:cs="Arial"/>
          <w:sz w:val="22"/>
          <w:szCs w:val="22"/>
        </w:rPr>
        <w:t xml:space="preserve"> </w:t>
      </w:r>
      <w:r w:rsidR="003257D7">
        <w:rPr>
          <w:rFonts w:ascii="Arial" w:hAnsi="Arial" w:cs="Arial"/>
          <w:sz w:val="22"/>
          <w:szCs w:val="22"/>
        </w:rPr>
        <w:t xml:space="preserve">mejores y más precisas. </w:t>
      </w:r>
    </w:p>
    <w:p w:rsidR="004B1C1E" w:rsidRPr="00DC242C" w:rsidRDefault="008031AF">
      <w:pPr>
        <w:pStyle w:val="Ttulo1"/>
        <w:spacing w:before="193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 xml:space="preserve">¿Cómo usar un “Resumen de Género”? </w:t>
      </w:r>
    </w:p>
    <w:p w:rsidR="008031AF" w:rsidRPr="00DC242C" w:rsidRDefault="00E47816">
      <w:pPr>
        <w:pStyle w:val="Textoindependiente"/>
        <w:spacing w:before="1"/>
        <w:ind w:left="852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 xml:space="preserve">Pueden usarse de diferentes maneras. </w:t>
      </w:r>
    </w:p>
    <w:p w:rsidR="004B1C1E" w:rsidRPr="00DC242C" w:rsidRDefault="00E47816">
      <w:pPr>
        <w:pStyle w:val="Textoindependiente"/>
        <w:spacing w:before="1"/>
        <w:ind w:left="852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CARE los ha usado para:</w:t>
      </w:r>
    </w:p>
    <w:p w:rsidR="004B1C1E" w:rsidRPr="00796711" w:rsidRDefault="00796711" w:rsidP="00796711">
      <w:pPr>
        <w:pStyle w:val="Prrafodelista"/>
        <w:numPr>
          <w:ilvl w:val="0"/>
          <w:numId w:val="1"/>
        </w:numPr>
        <w:tabs>
          <w:tab w:val="left" w:pos="1419"/>
        </w:tabs>
        <w:ind w:hanging="206"/>
        <w:rPr>
          <w:rFonts w:ascii="Arial" w:hAnsi="Arial" w:cs="Arial"/>
        </w:rPr>
      </w:pPr>
      <w:r>
        <w:rPr>
          <w:rFonts w:ascii="Arial" w:hAnsi="Arial" w:cs="Arial"/>
        </w:rPr>
        <w:t>Preparar propuestas de financiamiento</w:t>
      </w:r>
    </w:p>
    <w:p w:rsidR="004B1C1E" w:rsidRPr="00DC242C" w:rsidRDefault="00E47816">
      <w:pPr>
        <w:pStyle w:val="Prrafodelista"/>
        <w:numPr>
          <w:ilvl w:val="0"/>
          <w:numId w:val="1"/>
        </w:numPr>
        <w:tabs>
          <w:tab w:val="left" w:pos="1419"/>
        </w:tabs>
        <w:ind w:hanging="206"/>
        <w:rPr>
          <w:rFonts w:ascii="Arial" w:hAnsi="Arial" w:cs="Arial"/>
        </w:rPr>
      </w:pPr>
      <w:r w:rsidRPr="00DC242C">
        <w:rPr>
          <w:rFonts w:ascii="Arial" w:hAnsi="Arial" w:cs="Arial"/>
        </w:rPr>
        <w:t>Informar</w:t>
      </w:r>
      <w:r w:rsidR="00D96E74">
        <w:rPr>
          <w:rFonts w:ascii="Arial" w:hAnsi="Arial" w:cs="Arial"/>
        </w:rPr>
        <w:t xml:space="preserve"> </w:t>
      </w:r>
      <w:r w:rsidR="008640B0">
        <w:rPr>
          <w:rFonts w:ascii="Arial" w:hAnsi="Arial" w:cs="Arial"/>
        </w:rPr>
        <w:t xml:space="preserve">a </w:t>
      </w:r>
      <w:r w:rsidR="00BD0F7F">
        <w:rPr>
          <w:rFonts w:ascii="Arial" w:hAnsi="Arial" w:cs="Arial"/>
        </w:rPr>
        <w:t xml:space="preserve">las </w:t>
      </w:r>
      <w:r w:rsidR="00D96E74">
        <w:rPr>
          <w:rFonts w:ascii="Arial" w:hAnsi="Arial" w:cs="Arial"/>
        </w:rPr>
        <w:t xml:space="preserve">estrategias de respuesta a </w:t>
      </w:r>
      <w:r w:rsidRPr="00DC242C">
        <w:rPr>
          <w:rFonts w:ascii="Arial" w:hAnsi="Arial" w:cs="Arial"/>
        </w:rPr>
        <w:t>emergencias.</w:t>
      </w:r>
    </w:p>
    <w:p w:rsidR="004B1C1E" w:rsidRPr="00DC242C" w:rsidRDefault="00B22941">
      <w:pPr>
        <w:pStyle w:val="Prrafodelista"/>
        <w:numPr>
          <w:ilvl w:val="0"/>
          <w:numId w:val="1"/>
        </w:numPr>
        <w:tabs>
          <w:tab w:val="left" w:pos="1419"/>
        </w:tabs>
        <w:ind w:hanging="206"/>
        <w:rPr>
          <w:rFonts w:ascii="Arial" w:hAnsi="Arial" w:cs="Arial"/>
        </w:rPr>
      </w:pPr>
      <w:r>
        <w:rPr>
          <w:rFonts w:ascii="Arial" w:hAnsi="Arial" w:cs="Arial"/>
        </w:rPr>
        <w:t>Desarrollar planes de acción de</w:t>
      </w:r>
      <w:r w:rsidR="00E47816" w:rsidRPr="00DC242C">
        <w:rPr>
          <w:rFonts w:ascii="Arial" w:hAnsi="Arial" w:cs="Arial"/>
        </w:rPr>
        <w:t xml:space="preserve"> género.</w:t>
      </w:r>
    </w:p>
    <w:p w:rsidR="004B1C1E" w:rsidRPr="00DC242C" w:rsidRDefault="00E47816">
      <w:pPr>
        <w:pStyle w:val="Prrafodelista"/>
        <w:numPr>
          <w:ilvl w:val="0"/>
          <w:numId w:val="1"/>
        </w:numPr>
        <w:tabs>
          <w:tab w:val="left" w:pos="1419"/>
        </w:tabs>
        <w:ind w:hanging="206"/>
        <w:rPr>
          <w:rFonts w:ascii="Arial" w:hAnsi="Arial" w:cs="Arial"/>
        </w:rPr>
      </w:pPr>
      <w:r w:rsidRPr="00DC242C">
        <w:rPr>
          <w:rFonts w:ascii="Arial" w:hAnsi="Arial" w:cs="Arial"/>
        </w:rPr>
        <w:t>Informar al personal nuevo y desplegado.</w:t>
      </w:r>
    </w:p>
    <w:p w:rsidR="004B1C1E" w:rsidRPr="00DC242C" w:rsidRDefault="00585703">
      <w:pPr>
        <w:pStyle w:val="Prrafodelista"/>
        <w:numPr>
          <w:ilvl w:val="0"/>
          <w:numId w:val="1"/>
        </w:numPr>
        <w:tabs>
          <w:tab w:val="left" w:pos="1419"/>
        </w:tabs>
        <w:spacing w:line="240" w:lineRule="auto"/>
        <w:ind w:right="7" w:hanging="206"/>
        <w:rPr>
          <w:rFonts w:ascii="Arial" w:hAnsi="Arial" w:cs="Arial"/>
        </w:rPr>
      </w:pPr>
      <w:r>
        <w:rPr>
          <w:rFonts w:ascii="Arial" w:hAnsi="Arial" w:cs="Arial"/>
        </w:rPr>
        <w:t xml:space="preserve">Como </w:t>
      </w:r>
      <w:r w:rsidR="00B22941">
        <w:rPr>
          <w:rFonts w:ascii="Arial" w:hAnsi="Arial" w:cs="Arial"/>
        </w:rPr>
        <w:t xml:space="preserve">parte de  los </w:t>
      </w:r>
      <w:r w:rsidR="00E47816" w:rsidRPr="00DC242C">
        <w:rPr>
          <w:rFonts w:ascii="Arial" w:hAnsi="Arial" w:cs="Arial"/>
        </w:rPr>
        <w:t>informe</w:t>
      </w:r>
      <w:r w:rsidR="00B22941">
        <w:rPr>
          <w:rFonts w:ascii="Arial" w:hAnsi="Arial" w:cs="Arial"/>
        </w:rPr>
        <w:t>s</w:t>
      </w:r>
      <w:r w:rsidR="00E47816" w:rsidRPr="00DC242C">
        <w:rPr>
          <w:rFonts w:ascii="Arial" w:hAnsi="Arial" w:cs="Arial"/>
        </w:rPr>
        <w:t xml:space="preserve"> de p</w:t>
      </w:r>
      <w:r w:rsidR="00B22941">
        <w:rPr>
          <w:rFonts w:ascii="Arial" w:hAnsi="Arial" w:cs="Arial"/>
        </w:rPr>
        <w:t>lanificación de preparación para</w:t>
      </w:r>
      <w:r w:rsidR="00E47816" w:rsidRPr="00DC242C">
        <w:rPr>
          <w:rFonts w:ascii="Arial" w:hAnsi="Arial" w:cs="Arial"/>
        </w:rPr>
        <w:t xml:space="preserve"> emergencias.</w:t>
      </w:r>
    </w:p>
    <w:p w:rsidR="004B1C1E" w:rsidRDefault="0012300A">
      <w:pPr>
        <w:pStyle w:val="Prrafodelista"/>
        <w:numPr>
          <w:ilvl w:val="0"/>
          <w:numId w:val="1"/>
        </w:numPr>
        <w:tabs>
          <w:tab w:val="left" w:pos="1419"/>
        </w:tabs>
        <w:spacing w:line="237" w:lineRule="auto"/>
        <w:ind w:right="4" w:hanging="206"/>
        <w:rPr>
          <w:rFonts w:ascii="Arial" w:hAnsi="Arial" w:cs="Arial"/>
        </w:rPr>
      </w:pPr>
      <w:r>
        <w:rPr>
          <w:rFonts w:ascii="Arial" w:hAnsi="Arial" w:cs="Arial"/>
        </w:rPr>
        <w:t>Preparar</w:t>
      </w:r>
      <w:r w:rsidR="00E47816" w:rsidRPr="00DC242C">
        <w:rPr>
          <w:rFonts w:ascii="Arial" w:hAnsi="Arial" w:cs="Arial"/>
        </w:rPr>
        <w:t xml:space="preserve"> productos de comunicación al inicio de una emergencia.</w:t>
      </w:r>
    </w:p>
    <w:p w:rsidR="00AF4164" w:rsidRPr="00585703" w:rsidRDefault="00AF4164" w:rsidP="00585703">
      <w:pPr>
        <w:tabs>
          <w:tab w:val="left" w:pos="1419"/>
        </w:tabs>
        <w:spacing w:line="237" w:lineRule="auto"/>
        <w:ind w:right="4"/>
        <w:rPr>
          <w:rFonts w:ascii="Arial" w:hAnsi="Arial" w:cs="Arial"/>
        </w:rPr>
      </w:pPr>
    </w:p>
    <w:p w:rsidR="00AF4164" w:rsidRPr="00DC242C" w:rsidRDefault="00015544" w:rsidP="00CF5F06">
      <w:pPr>
        <w:pStyle w:val="Textoindependiente"/>
        <w:tabs>
          <w:tab w:val="left" w:pos="2291"/>
          <w:tab w:val="left" w:pos="3140"/>
          <w:tab w:val="left" w:pos="3835"/>
          <w:tab w:val="left" w:pos="4678"/>
        </w:tabs>
        <w:ind w:left="284"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¿A quiénes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va dirigido </w:t>
      </w:r>
      <w:r w:rsidR="00B22941">
        <w:rPr>
          <w:rFonts w:ascii="Arial" w:hAnsi="Arial" w:cs="Arial"/>
          <w:b/>
          <w:sz w:val="22"/>
          <w:szCs w:val="22"/>
        </w:rPr>
        <w:t>un "Resumen de  G</w:t>
      </w:r>
      <w:r w:rsidR="00AF4164" w:rsidRPr="00DC242C">
        <w:rPr>
          <w:rFonts w:ascii="Arial" w:hAnsi="Arial" w:cs="Arial"/>
          <w:b/>
          <w:sz w:val="22"/>
          <w:szCs w:val="22"/>
        </w:rPr>
        <w:t xml:space="preserve">énero"? </w:t>
      </w:r>
      <w:r w:rsidR="00B22941">
        <w:rPr>
          <w:rFonts w:ascii="Arial" w:hAnsi="Arial" w:cs="Arial"/>
          <w:sz w:val="22"/>
          <w:szCs w:val="22"/>
        </w:rPr>
        <w:t>Estos resúmenes están</w:t>
      </w:r>
      <w:r w:rsidR="00AF4164" w:rsidRPr="00DC242C">
        <w:rPr>
          <w:rFonts w:ascii="Arial" w:hAnsi="Arial" w:cs="Arial"/>
          <w:sz w:val="22"/>
          <w:szCs w:val="22"/>
        </w:rPr>
        <w:t xml:space="preserve"> diseñados para brindar información accesible y práctica sob</w:t>
      </w:r>
      <w:r w:rsidR="00B22941">
        <w:rPr>
          <w:rFonts w:ascii="Arial" w:hAnsi="Arial" w:cs="Arial"/>
          <w:sz w:val="22"/>
          <w:szCs w:val="22"/>
        </w:rPr>
        <w:t xml:space="preserve">re género a quienes </w:t>
      </w:r>
      <w:r w:rsidR="00B22941" w:rsidRPr="00B22941">
        <w:rPr>
          <w:rFonts w:ascii="Arial" w:hAnsi="Arial" w:cs="Arial"/>
          <w:sz w:val="22"/>
          <w:szCs w:val="22"/>
          <w:u w:val="single"/>
        </w:rPr>
        <w:t>no son especialistas en género</w:t>
      </w:r>
      <w:r w:rsidR="00B22941">
        <w:rPr>
          <w:rFonts w:ascii="Arial" w:hAnsi="Arial" w:cs="Arial"/>
          <w:sz w:val="22"/>
          <w:szCs w:val="22"/>
        </w:rPr>
        <w:t xml:space="preserve">. La audiencia </w:t>
      </w:r>
      <w:r w:rsidR="00AF4164" w:rsidRPr="00DC242C">
        <w:rPr>
          <w:rFonts w:ascii="Arial" w:hAnsi="Arial" w:cs="Arial"/>
          <w:sz w:val="22"/>
          <w:szCs w:val="22"/>
        </w:rPr>
        <w:t xml:space="preserve"> incluye a </w:t>
      </w:r>
      <w:r w:rsidR="00B22941">
        <w:rPr>
          <w:rFonts w:ascii="Arial" w:hAnsi="Arial" w:cs="Arial"/>
          <w:sz w:val="22"/>
          <w:szCs w:val="22"/>
        </w:rPr>
        <w:t xml:space="preserve">sectores </w:t>
      </w:r>
      <w:r w:rsidR="00AF4164" w:rsidRPr="00DC242C">
        <w:rPr>
          <w:rFonts w:ascii="Arial" w:hAnsi="Arial" w:cs="Arial"/>
          <w:sz w:val="22"/>
          <w:szCs w:val="22"/>
        </w:rPr>
        <w:t>humanitario</w:t>
      </w:r>
      <w:r w:rsidR="00B22941">
        <w:rPr>
          <w:rFonts w:ascii="Arial" w:hAnsi="Arial" w:cs="Arial"/>
          <w:sz w:val="22"/>
          <w:szCs w:val="22"/>
        </w:rPr>
        <w:t xml:space="preserve">s dentro de las oficinas de país, a los Miembros de CARE, unidades de Despliegue Rápido para Emergencias </w:t>
      </w:r>
      <w:r w:rsidR="00AF4164" w:rsidRPr="00DC242C">
        <w:rPr>
          <w:rFonts w:ascii="Arial" w:hAnsi="Arial" w:cs="Arial"/>
          <w:sz w:val="22"/>
          <w:szCs w:val="22"/>
        </w:rPr>
        <w:t xml:space="preserve">(RED), socios y donantes que </w:t>
      </w:r>
      <w:r w:rsidR="00AF4164" w:rsidRPr="00CF5F06">
        <w:rPr>
          <w:rFonts w:ascii="Arial" w:hAnsi="Arial" w:cs="Arial"/>
          <w:sz w:val="22"/>
          <w:szCs w:val="22"/>
        </w:rPr>
        <w:t>no</w:t>
      </w:r>
      <w:r w:rsidR="00CF5F06" w:rsidRPr="00CF5F06">
        <w:rPr>
          <w:rFonts w:ascii="Arial" w:hAnsi="Arial" w:cs="Arial"/>
          <w:sz w:val="22"/>
          <w:szCs w:val="22"/>
        </w:rPr>
        <w:t xml:space="preserve"> son especialistas en género</w:t>
      </w:r>
      <w:r w:rsidR="00CF5F06">
        <w:rPr>
          <w:rFonts w:ascii="Arial" w:hAnsi="Arial" w:cs="Arial"/>
          <w:sz w:val="22"/>
          <w:szCs w:val="22"/>
        </w:rPr>
        <w:t>.</w:t>
      </w:r>
    </w:p>
    <w:p w:rsidR="00AF4164" w:rsidRPr="00DC242C" w:rsidRDefault="00CF5F06" w:rsidP="00CF5F06">
      <w:pPr>
        <w:pStyle w:val="Ttulo1"/>
        <w:spacing w:before="194" w:line="241" w:lineRule="exac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¿Cómo preparar un “Resumen de Género”?</w:t>
      </w:r>
    </w:p>
    <w:p w:rsidR="00287D81" w:rsidRPr="00DC242C" w:rsidRDefault="00AF4164" w:rsidP="00CF5F06">
      <w:pPr>
        <w:pStyle w:val="Textoindependiente"/>
        <w:ind w:left="284" w:right="848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 xml:space="preserve">Debe prepararse conforme a la </w:t>
      </w:r>
      <w:hyperlink r:id="rId9">
        <w:r w:rsidR="00CF5F06">
          <w:rPr>
            <w:rFonts w:ascii="Arial" w:hAnsi="Arial" w:cs="Arial"/>
            <w:color w:val="0000FF"/>
            <w:sz w:val="22"/>
            <w:szCs w:val="22"/>
            <w:u w:val="single" w:color="0000FF"/>
          </w:rPr>
          <w:t>plantilla Resumen de G</w:t>
        </w:r>
        <w:r w:rsidRPr="00DC242C">
          <w:rPr>
            <w:rFonts w:ascii="Arial" w:hAnsi="Arial" w:cs="Arial"/>
            <w:color w:val="0000FF"/>
            <w:sz w:val="22"/>
            <w:szCs w:val="22"/>
            <w:u w:val="single" w:color="0000FF"/>
          </w:rPr>
          <w:t>énero</w:t>
        </w:r>
      </w:hyperlink>
      <w:r w:rsidRPr="00DC242C">
        <w:rPr>
          <w:rFonts w:ascii="Arial" w:hAnsi="Arial" w:cs="Arial"/>
          <w:sz w:val="22"/>
          <w:szCs w:val="22"/>
        </w:rPr>
        <w:t xml:space="preserve">, que incluye instrucciones y preguntas de orientación sobre cada sección. Debe tener un </w:t>
      </w:r>
      <w:r w:rsidRPr="00DC242C">
        <w:rPr>
          <w:rFonts w:ascii="Arial" w:hAnsi="Arial" w:cs="Arial"/>
          <w:b/>
          <w:sz w:val="22"/>
          <w:szCs w:val="22"/>
          <w:u w:val="single"/>
        </w:rPr>
        <w:t>máximo de dos páginas de extensión</w:t>
      </w:r>
      <w:r w:rsidRPr="00DC242C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DC242C">
        <w:rPr>
          <w:rFonts w:ascii="Arial" w:hAnsi="Arial" w:cs="Arial"/>
          <w:sz w:val="22"/>
          <w:szCs w:val="22"/>
        </w:rPr>
        <w:t>y debe incluir referencias. El contenido debe ser breve, práctico e informativo.</w:t>
      </w:r>
    </w:p>
    <w:p w:rsidR="004B1C1E" w:rsidRPr="00DC242C" w:rsidRDefault="00CF5F06" w:rsidP="00CF5F06">
      <w:pPr>
        <w:pStyle w:val="Ttulo1"/>
        <w:spacing w:before="19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¿Quiénes deben preparar un “Resumen de Género?</w:t>
      </w:r>
    </w:p>
    <w:p w:rsidR="004B1C1E" w:rsidRPr="00DC242C" w:rsidRDefault="00CF5F06" w:rsidP="00CF5F06">
      <w:pPr>
        <w:pStyle w:val="Textoindependiente"/>
        <w:spacing w:before="1"/>
        <w:ind w:left="284" w:right="8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Usualmente, el Asesor de Género de la oficina de</w:t>
      </w:r>
      <w:r w:rsidR="00E47816" w:rsidRPr="00DC242C">
        <w:rPr>
          <w:rFonts w:ascii="Arial" w:hAnsi="Arial" w:cs="Arial"/>
          <w:sz w:val="22"/>
          <w:szCs w:val="22"/>
        </w:rPr>
        <w:t xml:space="preserve"> país preparará </w:t>
      </w:r>
      <w:r>
        <w:rPr>
          <w:rFonts w:ascii="Arial" w:hAnsi="Arial" w:cs="Arial"/>
          <w:sz w:val="22"/>
          <w:szCs w:val="22"/>
        </w:rPr>
        <w:t xml:space="preserve">el primer bosquejo del Resumen de Género. </w:t>
      </w:r>
      <w:r w:rsidR="00E47816" w:rsidRPr="00DC242C">
        <w:rPr>
          <w:rFonts w:ascii="Arial" w:hAnsi="Arial" w:cs="Arial"/>
          <w:sz w:val="22"/>
          <w:szCs w:val="22"/>
        </w:rPr>
        <w:t>Durante una crisis de</w:t>
      </w:r>
      <w:r>
        <w:rPr>
          <w:rFonts w:ascii="Arial" w:hAnsi="Arial" w:cs="Arial"/>
          <w:sz w:val="22"/>
          <w:szCs w:val="22"/>
        </w:rPr>
        <w:t xml:space="preserve"> inicio rápido, el Grupo de E</w:t>
      </w:r>
      <w:r w:rsidR="00E47816" w:rsidRPr="00DC242C">
        <w:rPr>
          <w:rFonts w:ascii="Arial" w:hAnsi="Arial" w:cs="Arial"/>
          <w:sz w:val="22"/>
          <w:szCs w:val="22"/>
        </w:rPr>
        <w:t>mergencias de CARE puede preparar el primer borra</w:t>
      </w:r>
      <w:r>
        <w:rPr>
          <w:rFonts w:ascii="Arial" w:hAnsi="Arial" w:cs="Arial"/>
          <w:sz w:val="22"/>
          <w:szCs w:val="22"/>
        </w:rPr>
        <w:t xml:space="preserve">dor si todavía no hay uno disponible. </w:t>
      </w:r>
    </w:p>
    <w:p w:rsidR="004B1C1E" w:rsidRPr="00DC242C" w:rsidRDefault="004B1C1E" w:rsidP="00CF5F06">
      <w:pPr>
        <w:pStyle w:val="Textoindependiente"/>
        <w:spacing w:before="11"/>
        <w:ind w:left="284"/>
        <w:rPr>
          <w:rFonts w:ascii="Arial" w:hAnsi="Arial" w:cs="Arial"/>
          <w:sz w:val="22"/>
          <w:szCs w:val="22"/>
        </w:rPr>
      </w:pPr>
    </w:p>
    <w:p w:rsidR="004B1C1E" w:rsidRPr="00DC242C" w:rsidRDefault="00E47816" w:rsidP="00CF5F06">
      <w:pPr>
        <w:pStyle w:val="Textoindependiente"/>
        <w:ind w:left="284" w:right="846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El equi</w:t>
      </w:r>
      <w:r w:rsidR="004E2405">
        <w:rPr>
          <w:rFonts w:ascii="Arial" w:hAnsi="Arial" w:cs="Arial"/>
          <w:sz w:val="22"/>
          <w:szCs w:val="22"/>
        </w:rPr>
        <w:t>po de Respuesta a Emergencias  debe revisarlo. El Grupo de E</w:t>
      </w:r>
      <w:r w:rsidRPr="00DC242C">
        <w:rPr>
          <w:rFonts w:ascii="Arial" w:hAnsi="Arial" w:cs="Arial"/>
          <w:sz w:val="22"/>
          <w:szCs w:val="22"/>
        </w:rPr>
        <w:t>mergen</w:t>
      </w:r>
      <w:r w:rsidR="004E2405">
        <w:rPr>
          <w:rFonts w:ascii="Arial" w:hAnsi="Arial" w:cs="Arial"/>
          <w:sz w:val="22"/>
          <w:szCs w:val="22"/>
        </w:rPr>
        <w:t xml:space="preserve">cias de CARE puede revisar el borrador del Resumen de Género. </w:t>
      </w:r>
      <w:r w:rsidRPr="00DC242C">
        <w:rPr>
          <w:rFonts w:ascii="Arial" w:hAnsi="Arial" w:cs="Arial"/>
          <w:sz w:val="22"/>
          <w:szCs w:val="22"/>
        </w:rPr>
        <w:t xml:space="preserve">El </w:t>
      </w:r>
      <w:r w:rsidR="004E2405">
        <w:rPr>
          <w:rFonts w:ascii="Arial" w:hAnsi="Arial" w:cs="Arial"/>
          <w:sz w:val="22"/>
          <w:szCs w:val="22"/>
        </w:rPr>
        <w:t>Director del P</w:t>
      </w:r>
      <w:r w:rsidRPr="00DC242C">
        <w:rPr>
          <w:rFonts w:ascii="Arial" w:hAnsi="Arial" w:cs="Arial"/>
          <w:sz w:val="22"/>
          <w:szCs w:val="22"/>
        </w:rPr>
        <w:t xml:space="preserve">aís debe firmar la versión final. Los </w:t>
      </w:r>
      <w:r w:rsidR="004E2405" w:rsidRPr="00DC242C">
        <w:rPr>
          <w:rFonts w:ascii="Arial" w:hAnsi="Arial" w:cs="Arial"/>
          <w:sz w:val="22"/>
          <w:szCs w:val="22"/>
        </w:rPr>
        <w:t>Re</w:t>
      </w:r>
      <w:r w:rsidR="004E2405">
        <w:rPr>
          <w:rFonts w:ascii="Arial" w:hAnsi="Arial" w:cs="Arial"/>
          <w:sz w:val="22"/>
          <w:szCs w:val="22"/>
        </w:rPr>
        <w:t xml:space="preserve">súmenes de Género terminados </w:t>
      </w:r>
      <w:r w:rsidRPr="00DC242C">
        <w:rPr>
          <w:rFonts w:ascii="Arial" w:hAnsi="Arial" w:cs="Arial"/>
          <w:sz w:val="22"/>
          <w:szCs w:val="22"/>
        </w:rPr>
        <w:t xml:space="preserve">pueden ser subidos </w:t>
      </w:r>
      <w:hyperlink r:id="rId10">
        <w:r w:rsidRPr="00DC242C">
          <w:rPr>
            <w:rFonts w:ascii="Arial" w:hAnsi="Arial" w:cs="Arial"/>
            <w:color w:val="0000FF"/>
            <w:sz w:val="22"/>
            <w:szCs w:val="22"/>
            <w:u w:val="single" w:color="0000FF"/>
          </w:rPr>
          <w:t>aquí.</w:t>
        </w:r>
      </w:hyperlink>
    </w:p>
    <w:p w:rsidR="004B1C1E" w:rsidRPr="00DC242C" w:rsidRDefault="004E2405" w:rsidP="00CF5F06">
      <w:pPr>
        <w:pStyle w:val="Ttulo1"/>
        <w:spacing w:before="19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¿Cuándo preparar un “Resumen de Género”?</w:t>
      </w:r>
    </w:p>
    <w:p w:rsidR="004B1C1E" w:rsidRPr="00DC242C" w:rsidRDefault="004E2405" w:rsidP="006256E6">
      <w:pPr>
        <w:pStyle w:val="Textoindependiente"/>
        <w:spacing w:before="1"/>
        <w:ind w:left="284" w:right="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 ser preparado</w:t>
      </w:r>
      <w:r w:rsidR="006256E6">
        <w:rPr>
          <w:rFonts w:ascii="Arial" w:hAnsi="Arial" w:cs="Arial"/>
          <w:sz w:val="22"/>
          <w:szCs w:val="22"/>
        </w:rPr>
        <w:t xml:space="preserve"> como parte de las funciones de </w:t>
      </w:r>
      <w:r w:rsidR="00E47816" w:rsidRPr="00DC242C">
        <w:rPr>
          <w:rFonts w:ascii="Arial" w:hAnsi="Arial" w:cs="Arial"/>
          <w:sz w:val="22"/>
          <w:szCs w:val="22"/>
        </w:rPr>
        <w:t>planifica</w:t>
      </w:r>
      <w:r>
        <w:rPr>
          <w:rFonts w:ascii="Arial" w:hAnsi="Arial" w:cs="Arial"/>
          <w:sz w:val="22"/>
          <w:szCs w:val="22"/>
        </w:rPr>
        <w:t>ción de preparación para</w:t>
      </w:r>
      <w:r w:rsidR="00E47816" w:rsidRPr="00DC242C">
        <w:rPr>
          <w:rFonts w:ascii="Arial" w:hAnsi="Arial" w:cs="Arial"/>
          <w:sz w:val="22"/>
          <w:szCs w:val="22"/>
        </w:rPr>
        <w:t xml:space="preserve"> emerg</w:t>
      </w:r>
      <w:r w:rsidR="00BD0F7F">
        <w:rPr>
          <w:rFonts w:ascii="Arial" w:hAnsi="Arial" w:cs="Arial"/>
          <w:sz w:val="22"/>
          <w:szCs w:val="22"/>
        </w:rPr>
        <w:t>encias del funcionario del país.</w:t>
      </w:r>
    </w:p>
    <w:p w:rsidR="004B1C1E" w:rsidRPr="00DC242C" w:rsidRDefault="009D42D7" w:rsidP="004E2405">
      <w:pPr>
        <w:pStyle w:val="Ttulo1"/>
        <w:spacing w:line="241" w:lineRule="exac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Temas</w:t>
      </w:r>
      <w:r w:rsidR="00E47816" w:rsidRPr="00DC242C">
        <w:rPr>
          <w:rFonts w:ascii="Arial" w:hAnsi="Arial" w:cs="Arial"/>
          <w:sz w:val="22"/>
          <w:szCs w:val="22"/>
        </w:rPr>
        <w:t xml:space="preserve"> claves por recordar:</w:t>
      </w: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Resumen de Género</w:t>
      </w:r>
      <w:r w:rsidR="00E47816" w:rsidRPr="00DC242C">
        <w:rPr>
          <w:rFonts w:ascii="Arial" w:hAnsi="Arial" w:cs="Arial"/>
          <w:sz w:val="22"/>
          <w:szCs w:val="22"/>
        </w:rPr>
        <w:t xml:space="preserve"> no es un resume</w:t>
      </w:r>
      <w:r>
        <w:rPr>
          <w:rFonts w:ascii="Arial" w:hAnsi="Arial" w:cs="Arial"/>
          <w:sz w:val="22"/>
          <w:szCs w:val="22"/>
        </w:rPr>
        <w:t xml:space="preserve">n de todos los temas de </w:t>
      </w:r>
      <w:r w:rsidR="00E47816" w:rsidRPr="00DC242C">
        <w:rPr>
          <w:rFonts w:ascii="Arial" w:hAnsi="Arial" w:cs="Arial"/>
          <w:sz w:val="22"/>
          <w:szCs w:val="22"/>
        </w:rPr>
        <w:t xml:space="preserve">género, ni </w:t>
      </w:r>
      <w:r>
        <w:rPr>
          <w:rFonts w:ascii="Arial" w:hAnsi="Arial" w:cs="Arial"/>
          <w:sz w:val="22"/>
          <w:szCs w:val="22"/>
        </w:rPr>
        <w:t xml:space="preserve">de </w:t>
      </w:r>
      <w:r w:rsidR="00E47816" w:rsidRPr="00DC242C">
        <w:rPr>
          <w:rFonts w:ascii="Arial" w:hAnsi="Arial" w:cs="Arial"/>
          <w:sz w:val="22"/>
          <w:szCs w:val="22"/>
        </w:rPr>
        <w:t>las políticas gubernamentales del país. Está diseñado para ayudar</w:t>
      </w:r>
      <w:r>
        <w:rPr>
          <w:rFonts w:ascii="Arial" w:hAnsi="Arial" w:cs="Arial"/>
          <w:sz w:val="22"/>
          <w:szCs w:val="22"/>
        </w:rPr>
        <w:t xml:space="preserve">  </w:t>
      </w:r>
      <w:r w:rsidR="00E47816" w:rsidRPr="00DC242C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 </w:t>
      </w:r>
      <w:r w:rsidR="00E47816" w:rsidRPr="00DC242C">
        <w:rPr>
          <w:rFonts w:ascii="Arial" w:hAnsi="Arial" w:cs="Arial"/>
          <w:sz w:val="22"/>
          <w:szCs w:val="22"/>
        </w:rPr>
        <w:t xml:space="preserve"> las</w:t>
      </w:r>
      <w:r>
        <w:rPr>
          <w:rFonts w:ascii="Arial" w:hAnsi="Arial" w:cs="Arial"/>
          <w:sz w:val="22"/>
          <w:szCs w:val="22"/>
        </w:rPr>
        <w:t xml:space="preserve"> </w:t>
      </w:r>
      <w:r w:rsidR="00E47816" w:rsidRPr="00DC242C">
        <w:rPr>
          <w:rFonts w:ascii="Arial" w:hAnsi="Arial" w:cs="Arial"/>
          <w:sz w:val="22"/>
          <w:szCs w:val="22"/>
        </w:rPr>
        <w:t xml:space="preserve"> intervenciones humanitarias. Debe </w:t>
      </w:r>
      <w:r w:rsidR="00261B3F">
        <w:rPr>
          <w:rFonts w:ascii="Arial" w:hAnsi="Arial" w:cs="Arial"/>
          <w:sz w:val="22"/>
          <w:szCs w:val="22"/>
        </w:rPr>
        <w:t xml:space="preserve">enfocarse </w:t>
      </w:r>
      <w:r>
        <w:rPr>
          <w:rFonts w:ascii="Arial" w:hAnsi="Arial" w:cs="Arial"/>
          <w:sz w:val="22"/>
          <w:szCs w:val="22"/>
        </w:rPr>
        <w:t>en temas concreto</w:t>
      </w:r>
      <w:r w:rsidRPr="00DC242C">
        <w:rPr>
          <w:rFonts w:ascii="Arial" w:hAnsi="Arial" w:cs="Arial"/>
          <w:sz w:val="22"/>
          <w:szCs w:val="22"/>
        </w:rPr>
        <w:t>s de g</w:t>
      </w:r>
      <w:r>
        <w:rPr>
          <w:rFonts w:ascii="Arial" w:hAnsi="Arial" w:cs="Arial"/>
          <w:sz w:val="22"/>
          <w:szCs w:val="22"/>
        </w:rPr>
        <w:t xml:space="preserve">énero, tales como roles de </w:t>
      </w:r>
      <w:r w:rsidRPr="00DC242C">
        <w:rPr>
          <w:rFonts w:ascii="Arial" w:hAnsi="Arial" w:cs="Arial"/>
          <w:sz w:val="22"/>
          <w:szCs w:val="22"/>
        </w:rPr>
        <w:t>género, participación, acceso, toma de decisiones, dinámica en el</w:t>
      </w:r>
      <w:r>
        <w:rPr>
          <w:rFonts w:ascii="Arial" w:hAnsi="Arial" w:cs="Arial"/>
          <w:sz w:val="22"/>
          <w:szCs w:val="22"/>
        </w:rPr>
        <w:t xml:space="preserve"> hogar, datos desglosados por </w:t>
      </w:r>
      <w:r w:rsidRPr="00DC242C">
        <w:rPr>
          <w:rFonts w:ascii="Arial" w:hAnsi="Arial" w:cs="Arial"/>
          <w:sz w:val="22"/>
          <w:szCs w:val="22"/>
        </w:rPr>
        <w:t xml:space="preserve"> edad y sexo de las diferentes interven</w:t>
      </w:r>
      <w:r>
        <w:rPr>
          <w:rFonts w:ascii="Arial" w:hAnsi="Arial" w:cs="Arial"/>
          <w:sz w:val="22"/>
          <w:szCs w:val="22"/>
        </w:rPr>
        <w:t xml:space="preserve">ciones, y problemas sectoriales.        </w:t>
      </w: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9D42D7" w:rsidRDefault="009D42D7" w:rsidP="00261B3F">
      <w:pPr>
        <w:pStyle w:val="Textoindependiente"/>
        <w:tabs>
          <w:tab w:val="left" w:pos="4678"/>
        </w:tabs>
        <w:ind w:left="284" w:right="66"/>
        <w:contextualSpacing/>
        <w:jc w:val="both"/>
        <w:rPr>
          <w:rFonts w:ascii="Arial" w:hAnsi="Arial" w:cs="Arial"/>
          <w:sz w:val="22"/>
          <w:szCs w:val="22"/>
        </w:rPr>
      </w:pPr>
    </w:p>
    <w:p w:rsidR="00E13376" w:rsidRDefault="00E13376" w:rsidP="00261B3F">
      <w:pPr>
        <w:pStyle w:val="Textoindependiente"/>
        <w:ind w:right="846"/>
        <w:contextualSpacing/>
        <w:jc w:val="both"/>
        <w:rPr>
          <w:rFonts w:ascii="Arial" w:hAnsi="Arial" w:cs="Arial"/>
          <w:sz w:val="22"/>
          <w:szCs w:val="22"/>
        </w:rPr>
        <w:sectPr w:rsidR="00E13376" w:rsidSect="002A45D9">
          <w:type w:val="continuous"/>
          <w:pgSz w:w="11910" w:h="16840"/>
          <w:pgMar w:top="1340" w:right="0" w:bottom="1200" w:left="0" w:header="0" w:footer="1014" w:gutter="0"/>
          <w:cols w:num="2" w:space="564"/>
        </w:sectPr>
      </w:pPr>
    </w:p>
    <w:p w:rsidR="00E13376" w:rsidRDefault="00E13376" w:rsidP="00261B3F">
      <w:pPr>
        <w:pStyle w:val="Textoindependiente"/>
        <w:ind w:right="846"/>
        <w:contextualSpacing/>
        <w:jc w:val="both"/>
        <w:rPr>
          <w:rFonts w:ascii="Arial" w:hAnsi="Arial" w:cs="Arial"/>
          <w:sz w:val="22"/>
          <w:szCs w:val="22"/>
        </w:rPr>
      </w:pPr>
    </w:p>
    <w:p w:rsidR="00E13376" w:rsidRPr="00DC242C" w:rsidRDefault="00E13376" w:rsidP="00261B3F">
      <w:pPr>
        <w:pStyle w:val="Ttulo1"/>
        <w:spacing w:before="145"/>
        <w:ind w:left="284" w:right="6309"/>
        <w:contextualSpacing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¿Cómo</w:t>
      </w:r>
      <w:r w:rsidR="003D5C38">
        <w:rPr>
          <w:rFonts w:ascii="Arial" w:hAnsi="Arial" w:cs="Arial"/>
          <w:sz w:val="22"/>
          <w:szCs w:val="22"/>
        </w:rPr>
        <w:t xml:space="preserve"> engrana</w:t>
      </w:r>
      <w:r w:rsidR="00EF1C34">
        <w:rPr>
          <w:rFonts w:ascii="Arial" w:hAnsi="Arial" w:cs="Arial"/>
          <w:sz w:val="22"/>
          <w:szCs w:val="22"/>
        </w:rPr>
        <w:t xml:space="preserve"> un "Resumen de Género" en el proceso de Análisis Rápido de G</w:t>
      </w:r>
      <w:r w:rsidRPr="00DC242C">
        <w:rPr>
          <w:rFonts w:ascii="Arial" w:hAnsi="Arial" w:cs="Arial"/>
          <w:sz w:val="22"/>
          <w:szCs w:val="22"/>
        </w:rPr>
        <w:t>énero de CARE?</w:t>
      </w:r>
    </w:p>
    <w:p w:rsidR="00E13376" w:rsidRPr="00DC242C" w:rsidRDefault="003D5C38" w:rsidP="004E2405">
      <w:pPr>
        <w:pStyle w:val="Textoindependiente"/>
        <w:spacing w:before="2"/>
        <w:ind w:left="284" w:right="6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Resumen de Género es </w:t>
      </w:r>
      <w:r w:rsidR="00E13376" w:rsidRPr="00DC242C">
        <w:rPr>
          <w:rFonts w:ascii="Arial" w:hAnsi="Arial" w:cs="Arial"/>
          <w:sz w:val="22"/>
          <w:szCs w:val="22"/>
        </w:rPr>
        <w:t xml:space="preserve">una parte clave </w:t>
      </w:r>
      <w:r>
        <w:rPr>
          <w:rFonts w:ascii="Arial" w:hAnsi="Arial" w:cs="Arial"/>
          <w:sz w:val="22"/>
          <w:szCs w:val="22"/>
        </w:rPr>
        <w:t>del Análisis Rápido de Género (RGA). Es preparado</w:t>
      </w:r>
      <w:r w:rsidR="00E13376" w:rsidRPr="00DC242C">
        <w:rPr>
          <w:rFonts w:ascii="Arial" w:hAnsi="Arial" w:cs="Arial"/>
          <w:sz w:val="22"/>
          <w:szCs w:val="22"/>
        </w:rPr>
        <w:t xml:space="preserve"> como parte de la planificación</w:t>
      </w:r>
      <w:r>
        <w:rPr>
          <w:rFonts w:ascii="Arial" w:hAnsi="Arial" w:cs="Arial"/>
          <w:sz w:val="22"/>
          <w:szCs w:val="22"/>
        </w:rPr>
        <w:t xml:space="preserve"> de preparación para</w:t>
      </w:r>
      <w:r w:rsidR="00E13376" w:rsidRPr="00DC242C">
        <w:rPr>
          <w:rFonts w:ascii="Arial" w:hAnsi="Arial" w:cs="Arial"/>
          <w:sz w:val="22"/>
          <w:szCs w:val="22"/>
        </w:rPr>
        <w:t xml:space="preserve"> emergencias de CARE. Con frecuencia, es el primer análisis de genero compartido con el personal, las agencias colegas y los donantes durante las primeras 48 horas </w:t>
      </w:r>
      <w:r>
        <w:rPr>
          <w:rFonts w:ascii="Arial" w:hAnsi="Arial" w:cs="Arial"/>
          <w:sz w:val="22"/>
          <w:szCs w:val="22"/>
        </w:rPr>
        <w:t xml:space="preserve">de una emergencia. El  Análisis de Género </w:t>
      </w:r>
      <w:r w:rsidR="00E13376" w:rsidRPr="00DC242C">
        <w:rPr>
          <w:rFonts w:ascii="Arial" w:hAnsi="Arial" w:cs="Arial"/>
          <w:sz w:val="22"/>
          <w:szCs w:val="22"/>
        </w:rPr>
        <w:t xml:space="preserve"> debe ser incluido en el informe del Aná</w:t>
      </w:r>
      <w:r>
        <w:rPr>
          <w:rFonts w:ascii="Arial" w:hAnsi="Arial" w:cs="Arial"/>
          <w:sz w:val="22"/>
          <w:szCs w:val="22"/>
        </w:rPr>
        <w:t xml:space="preserve">lisis Rápido de Género, que cubre temas tales como las roles y </w:t>
      </w:r>
      <w:r w:rsidR="00E13376" w:rsidRPr="00DC242C">
        <w:rPr>
          <w:rFonts w:ascii="Arial" w:hAnsi="Arial" w:cs="Arial"/>
          <w:sz w:val="22"/>
          <w:szCs w:val="22"/>
        </w:rPr>
        <w:t xml:space="preserve"> relaciones de género antes de la crisis, la toma de decisiones, el control de los recursos, empleo, educación, leyes, protección y diversidad.</w:t>
      </w:r>
    </w:p>
    <w:p w:rsidR="00E13376" w:rsidRPr="00DC242C" w:rsidRDefault="00E13376" w:rsidP="004E2405">
      <w:pPr>
        <w:pStyle w:val="Textoindependiente"/>
        <w:spacing w:before="10"/>
        <w:ind w:left="284"/>
        <w:rPr>
          <w:rFonts w:ascii="Arial" w:hAnsi="Arial" w:cs="Arial"/>
          <w:sz w:val="22"/>
          <w:szCs w:val="22"/>
        </w:rPr>
      </w:pPr>
    </w:p>
    <w:p w:rsidR="00E13376" w:rsidRPr="00DC242C" w:rsidRDefault="00E13376" w:rsidP="004E2405">
      <w:pPr>
        <w:pStyle w:val="Ttulo1"/>
        <w:ind w:left="284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¿En busca de un ejemplo?</w:t>
      </w:r>
    </w:p>
    <w:p w:rsidR="00E13376" w:rsidRPr="00DC242C" w:rsidRDefault="00E13376" w:rsidP="004E2405">
      <w:pPr>
        <w:pStyle w:val="Textoindependiente"/>
        <w:spacing w:before="1"/>
        <w:ind w:left="284" w:right="6304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Exist</w:t>
      </w:r>
      <w:r w:rsidR="00F95A72">
        <w:rPr>
          <w:rFonts w:ascii="Arial" w:hAnsi="Arial" w:cs="Arial"/>
          <w:sz w:val="22"/>
          <w:szCs w:val="22"/>
        </w:rPr>
        <w:t>en muchos Resúmenes de Género</w:t>
      </w:r>
      <w:r w:rsidRPr="00DC242C">
        <w:rPr>
          <w:rFonts w:ascii="Arial" w:hAnsi="Arial" w:cs="Arial"/>
          <w:sz w:val="22"/>
          <w:szCs w:val="22"/>
        </w:rPr>
        <w:t xml:space="preserve"> disponibles en las oficinas de CARE en África, América, Asia y Medio Oriente en la </w:t>
      </w:r>
      <w:hyperlink r:id="rId11">
        <w:r w:rsidR="00F95A72">
          <w:rPr>
            <w:rFonts w:ascii="Arial" w:hAnsi="Arial" w:cs="Arial"/>
            <w:color w:val="0000FF"/>
            <w:sz w:val="22"/>
            <w:szCs w:val="22"/>
            <w:u w:val="single" w:color="0000FF"/>
          </w:rPr>
          <w:t>página de Resumen de G</w:t>
        </w:r>
        <w:r w:rsidRPr="00DC242C">
          <w:rPr>
            <w:rFonts w:ascii="Arial" w:hAnsi="Arial" w:cs="Arial"/>
            <w:color w:val="0000FF"/>
            <w:sz w:val="22"/>
            <w:szCs w:val="22"/>
            <w:u w:val="single" w:color="0000FF"/>
          </w:rPr>
          <w:t>énero</w:t>
        </w:r>
        <w:r w:rsidRPr="00DC242C">
          <w:rPr>
            <w:rFonts w:ascii="Arial" w:hAnsi="Arial" w:cs="Arial"/>
            <w:color w:val="0000FF"/>
            <w:sz w:val="22"/>
            <w:szCs w:val="22"/>
          </w:rPr>
          <w:t xml:space="preserve"> </w:t>
        </w:r>
      </w:hyperlink>
      <w:r w:rsidR="00F95A72">
        <w:rPr>
          <w:rFonts w:ascii="Arial" w:hAnsi="Arial" w:cs="Arial"/>
          <w:sz w:val="22"/>
          <w:szCs w:val="22"/>
        </w:rPr>
        <w:t>de la wiki sobre género en</w:t>
      </w:r>
      <w:r w:rsidRPr="00DC242C">
        <w:rPr>
          <w:rFonts w:ascii="Arial" w:hAnsi="Arial" w:cs="Arial"/>
          <w:sz w:val="22"/>
          <w:szCs w:val="22"/>
        </w:rPr>
        <w:t xml:space="preserve"> CARE.</w:t>
      </w:r>
    </w:p>
    <w:p w:rsidR="00E13376" w:rsidRPr="00DC242C" w:rsidRDefault="00E13376" w:rsidP="004E2405">
      <w:pPr>
        <w:pStyle w:val="Ttulo1"/>
        <w:spacing w:before="194"/>
        <w:ind w:left="284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>¿Más información?</w:t>
      </w:r>
    </w:p>
    <w:p w:rsidR="00E13376" w:rsidRPr="00DC242C" w:rsidRDefault="00E13376" w:rsidP="004E2405">
      <w:pPr>
        <w:pStyle w:val="Textoindependiente"/>
        <w:spacing w:before="11"/>
        <w:ind w:left="284"/>
        <w:rPr>
          <w:rFonts w:ascii="Arial" w:hAnsi="Arial" w:cs="Arial"/>
          <w:b/>
          <w:sz w:val="22"/>
          <w:szCs w:val="22"/>
        </w:rPr>
      </w:pPr>
    </w:p>
    <w:p w:rsidR="00E13376" w:rsidRPr="00DC242C" w:rsidRDefault="00E13376" w:rsidP="004E2405">
      <w:pPr>
        <w:pStyle w:val="Textoindependiente"/>
        <w:ind w:left="284" w:right="6305"/>
        <w:jc w:val="both"/>
        <w:rPr>
          <w:rFonts w:ascii="Arial" w:hAnsi="Arial" w:cs="Arial"/>
          <w:sz w:val="22"/>
          <w:szCs w:val="22"/>
        </w:rPr>
      </w:pPr>
      <w:r w:rsidRPr="00DC242C">
        <w:rPr>
          <w:rFonts w:ascii="Arial" w:hAnsi="Arial" w:cs="Arial"/>
          <w:sz w:val="22"/>
          <w:szCs w:val="22"/>
        </w:rPr>
        <w:t xml:space="preserve">Hay más información disponible en el resumen técnico sobre cómo preparar un </w:t>
      </w:r>
      <w:hyperlink r:id="rId12">
        <w:r w:rsidRPr="00DC242C">
          <w:rPr>
            <w:rFonts w:ascii="Arial" w:hAnsi="Arial" w:cs="Arial"/>
            <w:color w:val="0000FF"/>
            <w:sz w:val="22"/>
            <w:szCs w:val="22"/>
            <w:u w:val="single" w:color="0000FF"/>
          </w:rPr>
          <w:t>perfil demográfico usando datos</w:t>
        </w:r>
      </w:hyperlink>
      <w:r w:rsidRPr="00DC242C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3">
        <w:r w:rsidRPr="00DC242C">
          <w:rPr>
            <w:rFonts w:ascii="Arial" w:hAnsi="Arial" w:cs="Arial"/>
            <w:color w:val="0000FF"/>
            <w:sz w:val="22"/>
            <w:szCs w:val="22"/>
            <w:u w:val="single" w:color="0000FF"/>
          </w:rPr>
          <w:t>secundarios</w:t>
        </w:r>
        <w:r w:rsidRPr="00DC242C">
          <w:rPr>
            <w:rFonts w:ascii="Arial" w:hAnsi="Arial" w:cs="Arial"/>
            <w:color w:val="0000FF"/>
            <w:sz w:val="22"/>
            <w:szCs w:val="22"/>
          </w:rPr>
          <w:t xml:space="preserve"> </w:t>
        </w:r>
      </w:hyperlink>
      <w:r w:rsidRPr="00DC242C">
        <w:rPr>
          <w:rFonts w:ascii="Arial" w:hAnsi="Arial" w:cs="Arial"/>
          <w:sz w:val="22"/>
          <w:szCs w:val="22"/>
        </w:rPr>
        <w:t>que está disponible en ACAP.</w:t>
      </w:r>
    </w:p>
    <w:p w:rsidR="00E13376" w:rsidRDefault="00E13376" w:rsidP="004E2405">
      <w:pPr>
        <w:pStyle w:val="Textoindependiente"/>
        <w:ind w:left="284" w:right="846"/>
        <w:jc w:val="both"/>
        <w:rPr>
          <w:rFonts w:ascii="Arial" w:hAnsi="Arial" w:cs="Arial"/>
          <w:sz w:val="22"/>
          <w:szCs w:val="22"/>
        </w:rPr>
      </w:pPr>
    </w:p>
    <w:p w:rsidR="004B1C1E" w:rsidRPr="00DC242C" w:rsidRDefault="004B1C1E">
      <w:pPr>
        <w:jc w:val="both"/>
        <w:rPr>
          <w:rFonts w:ascii="Arial" w:hAnsi="Arial" w:cs="Arial"/>
        </w:rPr>
      </w:pPr>
    </w:p>
    <w:p w:rsidR="00AF4164" w:rsidRPr="00DC242C" w:rsidRDefault="00AF4164">
      <w:pPr>
        <w:jc w:val="both"/>
        <w:rPr>
          <w:rFonts w:ascii="Arial" w:hAnsi="Arial" w:cs="Arial"/>
        </w:rPr>
      </w:pPr>
    </w:p>
    <w:sectPr w:rsidR="00AF4164" w:rsidRPr="00DC242C" w:rsidSect="00E13376">
      <w:type w:val="continuous"/>
      <w:pgSz w:w="11910" w:h="16840"/>
      <w:pgMar w:top="1340" w:right="0" w:bottom="1200" w:left="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3C" w:rsidRDefault="00CB363C">
      <w:r>
        <w:separator/>
      </w:r>
    </w:p>
  </w:endnote>
  <w:endnote w:type="continuationSeparator" w:id="0">
    <w:p w:rsidR="00CB363C" w:rsidRDefault="00CB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1E" w:rsidRDefault="00CB363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77.75pt;width:466.25pt;height:65.7pt;z-index:-3592;mso-position-horizontal-relative:page;mso-position-vertical-relative:page" filled="f" stroked="f">
          <v:textbox style="mso-next-textbox:#_x0000_s2050" inset="0,0,0,0">
            <w:txbxContent>
              <w:p w:rsidR="004B1C1E" w:rsidRDefault="00E13376">
                <w:pPr>
                  <w:spacing w:before="19"/>
                  <w:ind w:left="20"/>
                  <w:rPr>
                    <w:rFonts w:ascii="Arial Black"/>
                    <w:b/>
                    <w:sz w:val="20"/>
                  </w:rPr>
                </w:pPr>
                <w:r>
                  <w:rPr>
                    <w:rFonts w:ascii="Arial Black"/>
                    <w:b/>
                    <w:color w:val="EC7C30"/>
                    <w:sz w:val="20"/>
                  </w:rPr>
                  <w:t>Serie de Notas de Orientaci</w:t>
                </w:r>
                <w:r>
                  <w:rPr>
                    <w:rFonts w:ascii="Arial Black"/>
                    <w:b/>
                    <w:color w:val="EC7C30"/>
                    <w:sz w:val="20"/>
                  </w:rPr>
                  <w:t>ó</w:t>
                </w:r>
                <w:r>
                  <w:rPr>
                    <w:rFonts w:ascii="Arial Black"/>
                    <w:b/>
                    <w:color w:val="EC7C30"/>
                    <w:sz w:val="20"/>
                  </w:rPr>
                  <w:t>n</w:t>
                </w:r>
                <w:r w:rsidR="00A470E6">
                  <w:rPr>
                    <w:rFonts w:ascii="Arial Black"/>
                    <w:b/>
                    <w:color w:val="EC7C30"/>
                    <w:sz w:val="20"/>
                  </w:rPr>
                  <w:t xml:space="preserve"> sobre G</w:t>
                </w:r>
                <w:r w:rsidR="00E47816">
                  <w:rPr>
                    <w:rFonts w:ascii="Arial Black"/>
                    <w:b/>
                    <w:color w:val="EC7C30"/>
                    <w:sz w:val="20"/>
                  </w:rPr>
                  <w:t>é</w:t>
                </w:r>
                <w:r w:rsidR="00D96E74">
                  <w:rPr>
                    <w:rFonts w:ascii="Arial Black"/>
                    <w:b/>
                    <w:color w:val="EC7C30"/>
                    <w:sz w:val="20"/>
                  </w:rPr>
                  <w:t xml:space="preserve">nero en </w:t>
                </w:r>
                <w:r w:rsidR="00A470E6">
                  <w:rPr>
                    <w:rFonts w:ascii="Arial Black"/>
                    <w:b/>
                    <w:color w:val="EC7C30"/>
                    <w:sz w:val="20"/>
                  </w:rPr>
                  <w:t>E</w:t>
                </w:r>
                <w:r w:rsidR="00E47816">
                  <w:rPr>
                    <w:rFonts w:ascii="Arial Black"/>
                    <w:b/>
                    <w:color w:val="EC7C30"/>
                    <w:sz w:val="20"/>
                  </w:rPr>
                  <w:t>mergencias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3pt;margin-top:782.55pt;width:66.75pt;height:12.45pt;z-index:-3568;mso-position-horizontal-relative:page;mso-position-vertical-relative:page" filled="f" stroked="f">
          <v:textbox style="mso-next-textbox:#_x0000_s2049" inset="0,0,0,0">
            <w:txbxContent>
              <w:p w:rsidR="004B1C1E" w:rsidRDefault="00E47816">
                <w:pPr>
                  <w:spacing w:line="186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</w:t>
                </w:r>
                <w:r>
                  <w:rPr>
                    <w:rFonts w:ascii="Calibri"/>
                    <w:sz w:val="16"/>
                  </w:rPr>
                  <w:t>á</w:t>
                </w:r>
                <w:r>
                  <w:rPr>
                    <w:rFonts w:ascii="Calibri"/>
                    <w:sz w:val="16"/>
                  </w:rPr>
                  <w:t xml:space="preserve">gina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15544">
                  <w:rPr>
                    <w:rFonts w:ascii="Calibri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z-index:-3616;mso-position-horizontal-relative:page;mso-position-vertical-relative:page" from="41.15pt,777.35pt" to="554.4pt,777.35pt" strokeweight=".16936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3C" w:rsidRDefault="00CB363C">
      <w:r>
        <w:separator/>
      </w:r>
    </w:p>
  </w:footnote>
  <w:footnote w:type="continuationSeparator" w:id="0">
    <w:p w:rsidR="00CB363C" w:rsidRDefault="00CB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7232"/>
    <w:multiLevelType w:val="hybridMultilevel"/>
    <w:tmpl w:val="7AA69834"/>
    <w:lvl w:ilvl="0" w:tplc="AC8AC9A6">
      <w:numFmt w:val="bullet"/>
      <w:lvlText w:val=""/>
      <w:lvlJc w:val="left"/>
      <w:pPr>
        <w:ind w:left="1418" w:hanging="20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867A80C2">
      <w:numFmt w:val="bullet"/>
      <w:lvlText w:val="•"/>
      <w:lvlJc w:val="left"/>
      <w:pPr>
        <w:ind w:left="1838" w:hanging="207"/>
      </w:pPr>
      <w:rPr>
        <w:rFonts w:hint="default"/>
        <w:lang w:val="en-AU" w:eastAsia="en-AU" w:bidi="en-AU"/>
      </w:rPr>
    </w:lvl>
    <w:lvl w:ilvl="2" w:tplc="2E3639F6">
      <w:numFmt w:val="bullet"/>
      <w:lvlText w:val="•"/>
      <w:lvlJc w:val="left"/>
      <w:pPr>
        <w:ind w:left="2256" w:hanging="207"/>
      </w:pPr>
      <w:rPr>
        <w:rFonts w:hint="default"/>
        <w:lang w:val="en-AU" w:eastAsia="en-AU" w:bidi="en-AU"/>
      </w:rPr>
    </w:lvl>
    <w:lvl w:ilvl="3" w:tplc="189A2676">
      <w:numFmt w:val="bullet"/>
      <w:lvlText w:val="•"/>
      <w:lvlJc w:val="left"/>
      <w:pPr>
        <w:ind w:left="2674" w:hanging="207"/>
      </w:pPr>
      <w:rPr>
        <w:rFonts w:hint="default"/>
        <w:lang w:val="en-AU" w:eastAsia="en-AU" w:bidi="en-AU"/>
      </w:rPr>
    </w:lvl>
    <w:lvl w:ilvl="4" w:tplc="0A04AE32">
      <w:numFmt w:val="bullet"/>
      <w:lvlText w:val="•"/>
      <w:lvlJc w:val="left"/>
      <w:pPr>
        <w:ind w:left="3093" w:hanging="207"/>
      </w:pPr>
      <w:rPr>
        <w:rFonts w:hint="default"/>
        <w:lang w:val="en-AU" w:eastAsia="en-AU" w:bidi="en-AU"/>
      </w:rPr>
    </w:lvl>
    <w:lvl w:ilvl="5" w:tplc="2A3CAF4A">
      <w:numFmt w:val="bullet"/>
      <w:lvlText w:val="•"/>
      <w:lvlJc w:val="left"/>
      <w:pPr>
        <w:ind w:left="3511" w:hanging="207"/>
      </w:pPr>
      <w:rPr>
        <w:rFonts w:hint="default"/>
        <w:lang w:val="en-AU" w:eastAsia="en-AU" w:bidi="en-AU"/>
      </w:rPr>
    </w:lvl>
    <w:lvl w:ilvl="6" w:tplc="3FA8836E">
      <w:numFmt w:val="bullet"/>
      <w:lvlText w:val="•"/>
      <w:lvlJc w:val="left"/>
      <w:pPr>
        <w:ind w:left="3929" w:hanging="207"/>
      </w:pPr>
      <w:rPr>
        <w:rFonts w:hint="default"/>
        <w:lang w:val="en-AU" w:eastAsia="en-AU" w:bidi="en-AU"/>
      </w:rPr>
    </w:lvl>
    <w:lvl w:ilvl="7" w:tplc="87FC6776">
      <w:numFmt w:val="bullet"/>
      <w:lvlText w:val="•"/>
      <w:lvlJc w:val="left"/>
      <w:pPr>
        <w:ind w:left="4347" w:hanging="207"/>
      </w:pPr>
      <w:rPr>
        <w:rFonts w:hint="default"/>
        <w:lang w:val="en-AU" w:eastAsia="en-AU" w:bidi="en-AU"/>
      </w:rPr>
    </w:lvl>
    <w:lvl w:ilvl="8" w:tplc="A440C73C">
      <w:numFmt w:val="bullet"/>
      <w:lvlText w:val="•"/>
      <w:lvlJc w:val="left"/>
      <w:pPr>
        <w:ind w:left="4766" w:hanging="207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1C1E"/>
    <w:rsid w:val="00015544"/>
    <w:rsid w:val="000874CC"/>
    <w:rsid w:val="0012300A"/>
    <w:rsid w:val="001709B9"/>
    <w:rsid w:val="00261B3F"/>
    <w:rsid w:val="00287D81"/>
    <w:rsid w:val="002A45D9"/>
    <w:rsid w:val="003257D7"/>
    <w:rsid w:val="003D5C38"/>
    <w:rsid w:val="004657E4"/>
    <w:rsid w:val="00485FF2"/>
    <w:rsid w:val="004B1C1E"/>
    <w:rsid w:val="004E2405"/>
    <w:rsid w:val="00585703"/>
    <w:rsid w:val="00590E6B"/>
    <w:rsid w:val="006256E6"/>
    <w:rsid w:val="00796711"/>
    <w:rsid w:val="007F324E"/>
    <w:rsid w:val="008031AF"/>
    <w:rsid w:val="00813A1C"/>
    <w:rsid w:val="008640B0"/>
    <w:rsid w:val="008B6E08"/>
    <w:rsid w:val="00960F8F"/>
    <w:rsid w:val="009D42D7"/>
    <w:rsid w:val="00A470E6"/>
    <w:rsid w:val="00AA17FB"/>
    <w:rsid w:val="00AF4164"/>
    <w:rsid w:val="00B22941"/>
    <w:rsid w:val="00BD0F7F"/>
    <w:rsid w:val="00CB363C"/>
    <w:rsid w:val="00CF5F06"/>
    <w:rsid w:val="00D96E74"/>
    <w:rsid w:val="00DB1F6D"/>
    <w:rsid w:val="00DC242C"/>
    <w:rsid w:val="00E13376"/>
    <w:rsid w:val="00E47816"/>
    <w:rsid w:val="00E800EB"/>
    <w:rsid w:val="00EA7996"/>
    <w:rsid w:val="00EF1C34"/>
    <w:rsid w:val="00F9592E"/>
    <w:rsid w:val="00F95A72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85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1418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0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F8F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960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F8F"/>
    <w:rPr>
      <w:rFonts w:ascii="Tahoma" w:eastAsia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4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4CC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ps.org/img/documents/d-140805-tb-demographic-profi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caps.org/img/documents/d-140805-tb-demographic-profi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der.care2share.wikispaces.net/Gender+in+Brief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ender.care2share.wikispaces.net/Gender+in+Brie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der.care2share.wikispaces.net/Gender+in+Emergen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2018-07-04T21:59:00Z</dcterms:created>
  <dcterms:modified xsi:type="dcterms:W3CDTF">2018-07-23T03:22:00Z</dcterms:modified>
</cp:coreProperties>
</file>